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2AE5D4E">
      <w:pPr>
        <w:pStyle w:val="108"/>
        <w:ind w:firstLine="0" w:firstLineChars="0"/>
        <w:jc w:val="center"/>
        <w:rPr>
          <w:rFonts w:ascii="Times New Roman" w:hAnsi="Times New Roman" w:eastAsiaTheme="minorEastAsia"/>
        </w:rPr>
      </w:pPr>
    </w:p>
    <w:p w14:paraId="063E5BCC">
      <w:pPr>
        <w:spacing w:line="900" w:lineRule="exact"/>
        <w:jc w:val="center"/>
        <w:rPr>
          <w:rFonts w:ascii="Times New Roman" w:hAnsi="Times New Roman" w:eastAsia="方正黑体_GBK" w:cs="Times New Roman"/>
          <w:b/>
          <w:sz w:val="44"/>
          <w:szCs w:val="44"/>
        </w:rPr>
      </w:pPr>
      <w:r>
        <w:rPr>
          <w:rFonts w:ascii="Times New Roman" w:hAnsi="Times New Roman" w:eastAsia="方正黑体_GBK" w:cs="Times New Roman"/>
          <w:b/>
          <w:sz w:val="44"/>
          <w:szCs w:val="44"/>
        </w:rPr>
        <w:t>重庆财经学院</w:t>
      </w:r>
    </w:p>
    <w:p w14:paraId="3960A5A2">
      <w:pPr>
        <w:spacing w:line="900" w:lineRule="exact"/>
        <w:jc w:val="center"/>
        <w:rPr>
          <w:rFonts w:ascii="Times New Roman" w:hAnsi="Times New Roman" w:cs="Times New Roman" w:eastAsiaTheme="minorEastAsia"/>
          <w:b/>
          <w:sz w:val="30"/>
          <w:szCs w:val="30"/>
        </w:rPr>
      </w:pPr>
      <w:r>
        <w:rPr>
          <w:rFonts w:hint="eastAsia" w:ascii="Times New Roman" w:hAnsi="Times New Roman" w:eastAsia="方正黑体_GBK" w:cs="Times New Roman"/>
          <w:b/>
          <w:sz w:val="44"/>
          <w:szCs w:val="44"/>
        </w:rPr>
        <w:t>教学服务器采购项目</w:t>
      </w:r>
    </w:p>
    <w:p w14:paraId="4BBF0ACC">
      <w:pPr>
        <w:spacing w:line="900" w:lineRule="exact"/>
        <w:jc w:val="center"/>
        <w:rPr>
          <w:rFonts w:ascii="Times New Roman" w:hAnsi="Times New Roman" w:cs="Times New Roman" w:eastAsiaTheme="minorEastAsia"/>
          <w:b/>
          <w:sz w:val="30"/>
          <w:szCs w:val="30"/>
        </w:rPr>
      </w:pPr>
    </w:p>
    <w:p w14:paraId="7B0E10DE">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招</w:t>
      </w:r>
    </w:p>
    <w:p w14:paraId="65AA0FE7">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标</w:t>
      </w:r>
    </w:p>
    <w:p w14:paraId="4831097A">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文</w:t>
      </w:r>
    </w:p>
    <w:p w14:paraId="1C457121">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件</w:t>
      </w:r>
    </w:p>
    <w:p w14:paraId="2F11B05E">
      <w:pPr>
        <w:spacing w:after="120" w:afterLines="50"/>
        <w:rPr>
          <w:rFonts w:ascii="Times New Roman" w:hAnsi="Times New Roman" w:cs="Times New Roman" w:eastAsiaTheme="minorEastAsia"/>
          <w:b/>
          <w:sz w:val="72"/>
        </w:rPr>
      </w:pPr>
    </w:p>
    <w:p w14:paraId="54A7D486">
      <w:pPr>
        <w:spacing w:after="120" w:afterLines="50"/>
        <w:rPr>
          <w:rFonts w:ascii="Times New Roman" w:hAnsi="Times New Roman" w:eastAsia="方正黑体_GBK" w:cs="Times New Roman"/>
          <w:b/>
          <w:sz w:val="72"/>
        </w:rPr>
      </w:pPr>
    </w:p>
    <w:p w14:paraId="4590F25E">
      <w:pPr>
        <w:tabs>
          <w:tab w:val="left" w:pos="5641"/>
        </w:tabs>
        <w:spacing w:after="120" w:afterLines="50" w:line="500" w:lineRule="exact"/>
        <w:ind w:firstLine="1985" w:firstLineChars="618"/>
        <w:rPr>
          <w:rFonts w:ascii="Times New Roman" w:hAnsi="Times New Roman" w:eastAsia="方正黑体_GBK" w:cs="Times New Roman"/>
          <w:b/>
          <w:sz w:val="32"/>
        </w:rPr>
      </w:pPr>
      <w:r>
        <w:rPr>
          <w:rFonts w:hint="eastAsia" w:ascii="Times New Roman" w:hAnsi="Times New Roman" w:eastAsia="方正黑体_GBK" w:cs="Times New Roman"/>
          <w:b/>
          <w:sz w:val="32"/>
        </w:rPr>
        <w:tab/>
      </w:r>
    </w:p>
    <w:p w14:paraId="64AEEA3F">
      <w:pPr>
        <w:spacing w:after="120" w:afterLines="50" w:line="500" w:lineRule="exact"/>
        <w:ind w:firstLine="1985" w:firstLineChars="618"/>
        <w:rPr>
          <w:rFonts w:ascii="Times New Roman" w:hAnsi="Times New Roman" w:eastAsia="方正黑体_GBK" w:cs="Times New Roman"/>
          <w:b/>
          <w:sz w:val="32"/>
        </w:rPr>
      </w:pPr>
    </w:p>
    <w:p w14:paraId="255D5485">
      <w:pPr>
        <w:spacing w:after="120" w:afterLines="50" w:line="500" w:lineRule="exact"/>
        <w:ind w:firstLine="1985" w:firstLineChars="618"/>
        <w:rPr>
          <w:rFonts w:ascii="Times New Roman" w:hAnsi="Times New Roman" w:eastAsia="方正黑体_GBK" w:cs="Times New Roman"/>
          <w:b/>
          <w:sz w:val="32"/>
        </w:rPr>
      </w:pPr>
      <w:r>
        <w:rPr>
          <w:rFonts w:ascii="Times New Roman" w:hAnsi="Times New Roman" w:eastAsia="方正黑体_GBK" w:cs="Times New Roman"/>
          <w:b/>
          <w:sz w:val="32"/>
        </w:rPr>
        <w:t>招标人：重庆财经学院</w:t>
      </w:r>
    </w:p>
    <w:p w14:paraId="3F3D144A">
      <w:pPr>
        <w:spacing w:after="120" w:afterLines="50" w:line="500" w:lineRule="exact"/>
        <w:ind w:firstLine="1985" w:firstLineChars="618"/>
        <w:rPr>
          <w:rFonts w:ascii="Times New Roman" w:hAnsi="Times New Roman" w:eastAsia="方正黑体_GBK" w:cs="Times New Roman"/>
          <w:b/>
          <w:color w:val="0000FF"/>
          <w:sz w:val="32"/>
        </w:rPr>
      </w:pPr>
      <w:r>
        <w:rPr>
          <w:rFonts w:ascii="Times New Roman" w:hAnsi="Times New Roman" w:eastAsia="方正黑体_GBK" w:cs="Times New Roman"/>
          <w:b/>
          <w:sz w:val="32"/>
        </w:rPr>
        <w:t>招标日期：</w:t>
      </w:r>
      <w:r>
        <w:rPr>
          <w:rFonts w:hint="eastAsia" w:ascii="Times New Roman" w:hAnsi="Times New Roman" w:eastAsia="方正黑体_GBK" w:cs="Times New Roman"/>
          <w:b/>
          <w:color w:val="auto"/>
          <w:sz w:val="32"/>
        </w:rPr>
        <w:t>2026年6月</w:t>
      </w:r>
    </w:p>
    <w:p w14:paraId="079325BC">
      <w:pPr>
        <w:pStyle w:val="194"/>
        <w:jc w:val="center"/>
        <w:rPr>
          <w:rFonts w:ascii="Times New Roman" w:hAnsi="Times New Roman" w:eastAsia="宋体" w:cs="Times New Roman"/>
          <w:b w:val="0"/>
          <w:bCs w:val="0"/>
          <w:color w:val="auto"/>
          <w:kern w:val="2"/>
          <w:sz w:val="36"/>
          <w:szCs w:val="36"/>
          <w:lang w:val="zh-CN"/>
        </w:rPr>
      </w:pPr>
    </w:p>
    <w:sdt>
      <w:sdtPr>
        <w:rPr>
          <w:rFonts w:ascii="Times New Roman" w:hAnsi="Times New Roman" w:eastAsia="宋体" w:cs="Times New Roman"/>
          <w:b w:val="0"/>
          <w:bCs w:val="0"/>
          <w:color w:val="auto"/>
          <w:kern w:val="2"/>
          <w:sz w:val="36"/>
          <w:szCs w:val="36"/>
          <w:lang w:val="zh-CN"/>
        </w:rPr>
        <w:id w:val="99690147"/>
      </w:sdtPr>
      <w:sdtEndPr>
        <w:rPr>
          <w:rFonts w:ascii="Times New Roman" w:hAnsi="Times New Roman" w:eastAsia="方正黑体_GBK" w:cs="Times New Roman"/>
          <w:b w:val="0"/>
          <w:bCs w:val="0"/>
          <w:color w:val="auto"/>
          <w:kern w:val="2"/>
          <w:sz w:val="24"/>
          <w:szCs w:val="24"/>
          <w:lang w:val="zh-CN"/>
        </w:rPr>
      </w:sdtEndPr>
      <w:sdtContent>
        <w:sdt>
          <w:sdtPr>
            <w:rPr>
              <w:rFonts w:hint="eastAsia" w:ascii="宋体" w:hAnsi="宋体" w:eastAsia="宋体" w:cs="宋体"/>
              <w:b w:val="0"/>
              <w:bCs w:val="0"/>
              <w:color w:val="auto"/>
              <w:kern w:val="2"/>
              <w:sz w:val="36"/>
              <w:szCs w:val="36"/>
              <w:lang w:val="zh-CN"/>
            </w:rPr>
            <w:id w:val="147462012"/>
          </w:sdtPr>
          <w:sdtEndPr>
            <w:rPr>
              <w:rFonts w:hint="eastAsia" w:ascii="方正黑体_GBK" w:hAnsi="方正黑体_GBK" w:eastAsia="方正黑体_GBK" w:cs="方正黑体_GBK"/>
              <w:b w:val="0"/>
              <w:bCs w:val="0"/>
              <w:color w:val="auto"/>
              <w:kern w:val="2"/>
              <w:sz w:val="24"/>
              <w:szCs w:val="24"/>
              <w:lang w:val="zh-CN"/>
            </w:rPr>
          </w:sdtEndPr>
          <w:sdtContent>
            <w:p w14:paraId="13A5F6C5">
              <w:pPr>
                <w:pStyle w:val="194"/>
                <w:jc w:val="center"/>
                <w:rPr>
                  <w:rFonts w:hint="eastAsia" w:ascii="宋体" w:hAnsi="宋体" w:eastAsia="宋体" w:cs="宋体"/>
                  <w:b w:val="0"/>
                  <w:bCs w:val="0"/>
                  <w:color w:val="auto"/>
                  <w:kern w:val="2"/>
                  <w:sz w:val="36"/>
                  <w:szCs w:val="36"/>
                  <w:lang w:val="zh-CN"/>
                </w:rPr>
              </w:pPr>
            </w:p>
            <w:p w14:paraId="2D3FB105">
              <w:pPr>
                <w:rPr>
                  <w:rFonts w:hint="eastAsia" w:ascii="宋体" w:hAnsi="宋体" w:cs="宋体"/>
                  <w:sz w:val="36"/>
                  <w:szCs w:val="36"/>
                  <w:lang w:val="zh-CN"/>
                </w:rPr>
              </w:pPr>
              <w:r>
                <w:rPr>
                  <w:rFonts w:hint="eastAsia" w:ascii="宋体" w:hAnsi="宋体" w:cs="宋体"/>
                  <w:sz w:val="36"/>
                  <w:szCs w:val="36"/>
                  <w:lang w:val="zh-CN"/>
                </w:rPr>
                <w:br w:type="page"/>
              </w:r>
            </w:p>
            <w:p w14:paraId="75851451">
              <w:pPr>
                <w:pStyle w:val="194"/>
                <w:jc w:val="center"/>
                <w:rPr>
                  <w:rFonts w:hint="eastAsia" w:ascii="宋体" w:hAnsi="宋体" w:eastAsia="宋体" w:cs="宋体"/>
                  <w:color w:val="auto"/>
                  <w:sz w:val="36"/>
                  <w:szCs w:val="36"/>
                  <w:lang w:val="zh-CN"/>
                </w:rPr>
              </w:pPr>
              <w:r>
                <w:rPr>
                  <w:rFonts w:hint="eastAsia" w:ascii="宋体" w:hAnsi="宋体" w:eastAsia="宋体" w:cs="宋体"/>
                  <w:color w:val="auto"/>
                  <w:sz w:val="36"/>
                  <w:szCs w:val="36"/>
                  <w:lang w:val="zh-CN"/>
                </w:rPr>
                <w:t>目录</w:t>
              </w:r>
            </w:p>
            <w:p w14:paraId="094095FE">
              <w:pPr>
                <w:rPr>
                  <w:lang w:val="zh-CN"/>
                </w:rPr>
              </w:pPr>
            </w:p>
            <w:p w14:paraId="3363B498"/>
            <w:p w14:paraId="7D8666F6">
              <w:pPr>
                <w:pStyle w:val="30"/>
                <w:tabs>
                  <w:tab w:val="right" w:leader="dot" w:pos="8255"/>
                </w:tabs>
                <w:rPr>
                  <w:rStyle w:val="48"/>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TOC \o "1-3" \h \z \u </w:instrText>
              </w:r>
              <w:r>
                <w:rPr>
                  <w:rFonts w:hint="eastAsia" w:ascii="方正黑体_GBK" w:hAnsi="方正黑体_GBK" w:eastAsia="方正黑体_GBK" w:cs="方正黑体_GBK"/>
                  <w:sz w:val="24"/>
                  <w:szCs w:val="24"/>
                </w:rPr>
                <w:fldChar w:fldCharType="separate"/>
              </w:r>
              <w:r>
                <w:fldChar w:fldCharType="begin"/>
              </w:r>
              <w:r>
                <w:instrText xml:space="preserve"> HYPERLINK \l "_Toc531594733" </w:instrText>
              </w:r>
              <w:r>
                <w:fldChar w:fldCharType="separate"/>
              </w:r>
              <w:r>
                <w:rPr>
                  <w:rStyle w:val="48"/>
                  <w:rFonts w:hint="eastAsia" w:ascii="方正黑体_GBK" w:hAnsi="方正黑体_GBK" w:eastAsia="方正黑体_GBK" w:cs="方正黑体_GBK"/>
                  <w:color w:val="auto"/>
                  <w:sz w:val="24"/>
                  <w:szCs w:val="24"/>
                </w:rPr>
                <w:t>第一章 招标公告</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3</w:t>
              </w:r>
            </w:p>
            <w:p w14:paraId="0EF5A910">
              <w:pPr>
                <w:rPr>
                  <w:rFonts w:hint="eastAsia" w:ascii="方正黑体_GBK" w:hAnsi="方正黑体_GBK" w:eastAsia="方正黑体_GBK" w:cs="方正黑体_GBK"/>
                  <w:szCs w:val="24"/>
                </w:rPr>
              </w:pPr>
            </w:p>
            <w:p w14:paraId="66519FB9">
              <w:pPr>
                <w:rPr>
                  <w:rFonts w:hint="eastAsia" w:ascii="方正黑体_GBK" w:hAnsi="方正黑体_GBK" w:eastAsia="方正黑体_GBK" w:cs="方正黑体_GBK"/>
                  <w:szCs w:val="24"/>
                </w:rPr>
              </w:pPr>
            </w:p>
            <w:p w14:paraId="1DF554A3">
              <w:pPr>
                <w:rPr>
                  <w:rFonts w:hint="eastAsia" w:ascii="方正黑体_GBK" w:hAnsi="方正黑体_GBK" w:eastAsia="方正黑体_GBK" w:cs="方正黑体_GBK"/>
                  <w:szCs w:val="24"/>
                </w:rPr>
              </w:pPr>
            </w:p>
            <w:p w14:paraId="300F39E2">
              <w:pPr>
                <w:rPr>
                  <w:rFonts w:hint="eastAsia" w:ascii="方正黑体_GBK" w:hAnsi="方正黑体_GBK" w:eastAsia="方正黑体_GBK" w:cs="方正黑体_GBK"/>
                  <w:szCs w:val="24"/>
                </w:rPr>
              </w:pPr>
            </w:p>
            <w:p w14:paraId="283361B2">
              <w:pPr>
                <w:pStyle w:val="30"/>
                <w:tabs>
                  <w:tab w:val="right" w:leader="dot" w:pos="8255"/>
                </w:tabs>
                <w:rPr>
                  <w:rStyle w:val="48"/>
                  <w:rFonts w:hint="eastAsia" w:ascii="方正黑体_GBK" w:hAnsi="方正黑体_GBK" w:eastAsia="方正黑体_GBK" w:cs="方正黑体_GBK"/>
                  <w:color w:val="auto"/>
                  <w:sz w:val="24"/>
                  <w:szCs w:val="24"/>
                </w:rPr>
              </w:pPr>
              <w:r>
                <w:fldChar w:fldCharType="begin"/>
              </w:r>
              <w:r>
                <w:instrText xml:space="preserve"> HYPERLINK \l "_Toc531594734" </w:instrText>
              </w:r>
              <w:r>
                <w:fldChar w:fldCharType="separate"/>
              </w:r>
              <w:r>
                <w:rPr>
                  <w:rStyle w:val="48"/>
                  <w:rFonts w:hint="eastAsia" w:ascii="方正黑体_GBK" w:hAnsi="方正黑体_GBK" w:eastAsia="方正黑体_GBK" w:cs="方正黑体_GBK"/>
                  <w:color w:val="auto"/>
                  <w:sz w:val="24"/>
                  <w:szCs w:val="24"/>
                </w:rPr>
                <w:t>第二章 投标人</w:t>
              </w:r>
              <w:r>
                <w:rPr>
                  <w:rStyle w:val="48"/>
                  <w:rFonts w:hint="eastAsia" w:ascii="方正黑体_GBK" w:hAnsi="方正黑体_GBK" w:eastAsia="方正黑体_GBK" w:cs="方正黑体_GBK"/>
                  <w:color w:val="0000FF"/>
                  <w:sz w:val="24"/>
                  <w:szCs w:val="24"/>
                </w:rPr>
                <w:t>须知</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5</w:t>
              </w:r>
            </w:p>
            <w:p w14:paraId="3441099E">
              <w:pPr>
                <w:rPr>
                  <w:rFonts w:hint="eastAsia" w:ascii="方正黑体_GBK" w:hAnsi="方正黑体_GBK" w:eastAsia="方正黑体_GBK" w:cs="方正黑体_GBK"/>
                  <w:szCs w:val="24"/>
                </w:rPr>
              </w:pPr>
            </w:p>
            <w:p w14:paraId="6ED37BBA">
              <w:pPr>
                <w:rPr>
                  <w:rFonts w:hint="eastAsia" w:ascii="方正黑体_GBK" w:hAnsi="方正黑体_GBK" w:eastAsia="方正黑体_GBK" w:cs="方正黑体_GBK"/>
                  <w:szCs w:val="24"/>
                </w:rPr>
              </w:pPr>
            </w:p>
            <w:p w14:paraId="6105D325">
              <w:pPr>
                <w:rPr>
                  <w:rFonts w:hint="eastAsia" w:ascii="方正黑体_GBK" w:hAnsi="方正黑体_GBK" w:eastAsia="方正黑体_GBK" w:cs="方正黑体_GBK"/>
                  <w:szCs w:val="24"/>
                </w:rPr>
              </w:pPr>
            </w:p>
            <w:p w14:paraId="44CF0476">
              <w:pPr>
                <w:rPr>
                  <w:rFonts w:hint="eastAsia" w:ascii="方正黑体_GBK" w:hAnsi="方正黑体_GBK" w:eastAsia="方正黑体_GBK" w:cs="方正黑体_GBK"/>
                  <w:szCs w:val="24"/>
                </w:rPr>
              </w:pPr>
            </w:p>
            <w:p w14:paraId="41272192">
              <w:pPr>
                <w:pStyle w:val="30"/>
                <w:tabs>
                  <w:tab w:val="right" w:leader="dot" w:pos="8255"/>
                </w:tabs>
                <w:rPr>
                  <w:rStyle w:val="48"/>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"_第三章 招标数量及参数要求" </w:instrText>
              </w:r>
              <w:r>
                <w:rPr>
                  <w:rFonts w:hint="eastAsia" w:ascii="方正黑体_GBK" w:hAnsi="方正黑体_GBK" w:eastAsia="方正黑体_GBK" w:cs="方正黑体_GBK"/>
                  <w:sz w:val="24"/>
                  <w:szCs w:val="24"/>
                </w:rPr>
                <w:fldChar w:fldCharType="separate"/>
              </w:r>
              <w:r>
                <w:rPr>
                  <w:rStyle w:val="48"/>
                  <w:rFonts w:hint="eastAsia" w:ascii="方正黑体_GBK" w:hAnsi="方正黑体_GBK" w:eastAsia="方正黑体_GBK" w:cs="方正黑体_GBK"/>
                  <w:sz w:val="24"/>
                  <w:szCs w:val="24"/>
                </w:rPr>
                <w:t>第三章 招标数量及参数要求</w:t>
              </w:r>
              <w:r>
                <w:rPr>
                  <w:rStyle w:val="48"/>
                  <w:rFonts w:hint="eastAsia" w:ascii="方正黑体_GBK" w:hAnsi="方正黑体_GBK" w:eastAsia="方正黑体_GBK" w:cs="方正黑体_GBK"/>
                  <w:sz w:val="24"/>
                  <w:szCs w:val="24"/>
                </w:rPr>
                <w:tab/>
              </w:r>
              <w:r>
                <w:rPr>
                  <w:rStyle w:val="48"/>
                  <w:rFonts w:hint="eastAsia" w:ascii="方正黑体_GBK" w:hAnsi="方正黑体_GBK" w:eastAsia="方正黑体_GBK" w:cs="方正黑体_GBK"/>
                  <w:sz w:val="24"/>
                  <w:szCs w:val="24"/>
                </w:rPr>
                <w:t>22</w:t>
              </w:r>
            </w:p>
            <w:p w14:paraId="6D13B6F5">
              <w:pPr>
                <w:rPr>
                  <w:rFonts w:hint="eastAsia" w:ascii="方正黑体_GBK" w:hAnsi="方正黑体_GBK" w:eastAsia="方正黑体_GBK" w:cs="方正黑体_GBK"/>
                  <w:szCs w:val="24"/>
                </w:rPr>
              </w:pPr>
              <w:r>
                <w:rPr>
                  <w:rFonts w:hint="eastAsia" w:ascii="方正黑体_GBK" w:hAnsi="方正黑体_GBK" w:eastAsia="方正黑体_GBK" w:cs="方正黑体_GBK"/>
                  <w:szCs w:val="24"/>
                </w:rPr>
                <w:fldChar w:fldCharType="end"/>
              </w:r>
            </w:p>
            <w:p w14:paraId="58B18A73">
              <w:pPr>
                <w:rPr>
                  <w:rFonts w:hint="eastAsia" w:ascii="方正黑体_GBK" w:hAnsi="方正黑体_GBK" w:eastAsia="方正黑体_GBK" w:cs="方正黑体_GBK"/>
                  <w:szCs w:val="24"/>
                </w:rPr>
              </w:pPr>
            </w:p>
            <w:p w14:paraId="4B22992D">
              <w:pPr>
                <w:rPr>
                  <w:rFonts w:hint="eastAsia" w:ascii="方正黑体_GBK" w:hAnsi="方正黑体_GBK" w:eastAsia="方正黑体_GBK" w:cs="方正黑体_GBK"/>
                  <w:szCs w:val="24"/>
                </w:rPr>
              </w:pPr>
            </w:p>
            <w:p w14:paraId="7318132B">
              <w:pPr>
                <w:rPr>
                  <w:rFonts w:hint="eastAsia" w:ascii="方正黑体_GBK" w:hAnsi="方正黑体_GBK" w:eastAsia="方正黑体_GBK" w:cs="方正黑体_GBK"/>
                  <w:szCs w:val="24"/>
                </w:rPr>
              </w:pPr>
            </w:p>
            <w:p w14:paraId="7E544C0A">
              <w:pPr>
                <w:pStyle w:val="30"/>
                <w:tabs>
                  <w:tab w:val="right" w:leader="dot" w:pos="8255"/>
                </w:tabs>
                <w:rPr>
                  <w:rFonts w:hint="eastAsia" w:ascii="方正黑体_GBK" w:hAnsi="方正黑体_GBK" w:eastAsia="方正黑体_GBK" w:cs="方正黑体_GBK"/>
                  <w:szCs w:val="24"/>
                </w:rPr>
              </w:pPr>
            </w:p>
            <w:p w14:paraId="63286E9C">
              <w:pPr>
                <w:pStyle w:val="30"/>
                <w:tabs>
                  <w:tab w:val="right" w:leader="dot" w:pos="8255"/>
                </w:tabs>
                <w:rPr>
                  <w:rFonts w:hint="eastAsia" w:ascii="方正黑体_GBK" w:hAnsi="方正黑体_GBK" w:eastAsia="方正黑体_GBK" w:cs="方正黑体_GBK"/>
                  <w:sz w:val="24"/>
                  <w:szCs w:val="24"/>
                </w:rPr>
              </w:pPr>
              <w:r>
                <w:fldChar w:fldCharType="begin"/>
              </w:r>
              <w:r>
                <w:instrText xml:space="preserve"> HYPERLINK \l "_Toc531594799" </w:instrText>
              </w:r>
              <w:r>
                <w:fldChar w:fldCharType="separate"/>
              </w:r>
              <w:r>
                <w:rPr>
                  <w:rStyle w:val="48"/>
                  <w:rFonts w:hint="eastAsia" w:ascii="方正黑体_GBK" w:hAnsi="方正黑体_GBK" w:eastAsia="方正黑体_GBK" w:cs="方正黑体_GBK"/>
                  <w:color w:val="auto"/>
                  <w:sz w:val="24"/>
                  <w:szCs w:val="24"/>
                </w:rPr>
                <w:t>第四章 评标原则</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27</w:t>
              </w:r>
            </w:p>
            <w:p w14:paraId="182F5F2D">
              <w:pPr>
                <w:pStyle w:val="30"/>
                <w:tabs>
                  <w:tab w:val="right" w:leader="dot" w:pos="8255"/>
                </w:tabs>
                <w:rPr>
                  <w:rFonts w:hint="eastAsia" w:ascii="方正黑体_GBK" w:hAnsi="方正黑体_GBK" w:eastAsia="方正黑体_GBK" w:cs="方正黑体_GBK"/>
                  <w:sz w:val="24"/>
                  <w:szCs w:val="24"/>
                </w:rPr>
              </w:pPr>
            </w:p>
            <w:p w14:paraId="42762A9D">
              <w:pPr>
                <w:pStyle w:val="30"/>
                <w:tabs>
                  <w:tab w:val="right" w:leader="dot" w:pos="8255"/>
                </w:tabs>
                <w:rPr>
                  <w:rFonts w:hint="eastAsia" w:ascii="方正黑体_GBK" w:hAnsi="方正黑体_GBK" w:eastAsia="方正黑体_GBK" w:cs="方正黑体_GBK"/>
                  <w:sz w:val="24"/>
                  <w:szCs w:val="24"/>
                </w:rPr>
              </w:pPr>
            </w:p>
            <w:p w14:paraId="4ABA3761">
              <w:pPr>
                <w:pStyle w:val="30"/>
                <w:tabs>
                  <w:tab w:val="right" w:leader="dot" w:pos="8255"/>
                </w:tabs>
                <w:rPr>
                  <w:rFonts w:hint="eastAsia" w:ascii="方正黑体_GBK" w:hAnsi="方正黑体_GBK" w:eastAsia="方正黑体_GBK" w:cs="方正黑体_GBK"/>
                  <w:sz w:val="24"/>
                  <w:szCs w:val="24"/>
                </w:rPr>
              </w:pPr>
            </w:p>
            <w:p w14:paraId="3235589A">
              <w:pPr>
                <w:pStyle w:val="30"/>
                <w:tabs>
                  <w:tab w:val="right" w:leader="dot" w:pos="8255"/>
                </w:tabs>
                <w:rPr>
                  <w:rFonts w:hint="eastAsia" w:ascii="方正黑体_GBK" w:hAnsi="方正黑体_GBK" w:eastAsia="方正黑体_GBK" w:cs="方正黑体_GBK"/>
                  <w:sz w:val="24"/>
                  <w:szCs w:val="24"/>
                </w:rPr>
              </w:pPr>
            </w:p>
            <w:p w14:paraId="03862F81">
              <w:pPr>
                <w:pStyle w:val="30"/>
                <w:tabs>
                  <w:tab w:val="right" w:leader="dot" w:pos="8255"/>
                </w:tabs>
                <w:rPr>
                  <w:rStyle w:val="48"/>
                </w:rPr>
              </w:pPr>
              <w:r>
                <w:fldChar w:fldCharType="begin"/>
              </w:r>
              <w:r>
                <w:instrText xml:space="preserve"> HYPERLINK \l "_第五章 投标文件格式" </w:instrText>
              </w:r>
              <w:r>
                <w:fldChar w:fldCharType="separate"/>
              </w:r>
              <w:r>
                <w:rPr>
                  <w:rStyle w:val="48"/>
                  <w:rFonts w:hint="eastAsia" w:ascii="方正黑体_GBK" w:hAnsi="方正黑体_GBK" w:eastAsia="方正黑体_GBK" w:cs="方正黑体_GBK"/>
                  <w:color w:val="auto"/>
                  <w:sz w:val="24"/>
                  <w:szCs w:val="24"/>
                </w:rPr>
                <w:t>第五章 投标文件格式</w:t>
              </w:r>
              <w:r>
                <w:rPr>
                  <w:rStyle w:val="48"/>
                  <w:rFonts w:hint="eastAsia"/>
                </w:rPr>
                <w:tab/>
              </w:r>
              <w:r>
                <w:rPr>
                  <w:rStyle w:val="48"/>
                  <w:rFonts w:hint="eastAsia"/>
                </w:rPr>
                <w:fldChar w:fldCharType="end"/>
              </w:r>
              <w:r>
                <w:rPr>
                  <w:rFonts w:hint="eastAsia" w:ascii="方正黑体_GBK" w:hAnsi="方正黑体_GBK" w:eastAsia="方正黑体_GBK" w:cs="方正黑体_GBK"/>
                  <w:sz w:val="24"/>
                  <w:szCs w:val="24"/>
                </w:rPr>
                <w:t>30</w:t>
              </w:r>
            </w:p>
            <w:p w14:paraId="775D4E1E">
              <w:pPr>
                <w:rPr>
                  <w:rFonts w:ascii="Times New Roman" w:hAnsi="Times New Roman" w:eastAsia="方正黑体_GBK" w:cs="Times New Roman"/>
                  <w:b/>
                  <w:szCs w:val="24"/>
                </w:rPr>
              </w:pPr>
              <w:r>
                <w:rPr>
                  <w:rFonts w:hint="eastAsia" w:ascii="方正黑体_GBK" w:hAnsi="方正黑体_GBK" w:eastAsia="方正黑体_GBK" w:cs="方正黑体_GBK"/>
                  <w:szCs w:val="24"/>
                  <w:lang w:val="zh-CN"/>
                </w:rPr>
                <w:fldChar w:fldCharType="end"/>
              </w:r>
            </w:p>
          </w:sdtContent>
        </w:sdt>
      </w:sdtContent>
    </w:sdt>
    <w:p w14:paraId="56E6AE9E">
      <w:pPr>
        <w:pStyle w:val="2"/>
        <w:numPr>
          <w:ilvl w:val="0"/>
          <w:numId w:val="0"/>
        </w:numPr>
        <w:spacing w:before="0" w:after="0" w:line="440" w:lineRule="exact"/>
        <w:jc w:val="center"/>
        <w:rPr>
          <w:rFonts w:hint="eastAsia" w:ascii="方正小标宋_GBK" w:hAnsi="方正小标宋_GBK" w:eastAsia="方正小标宋_GBK" w:cs="方正小标宋_GBK"/>
          <w:b w:val="0"/>
          <w:bCs w:val="0"/>
        </w:rPr>
      </w:pPr>
    </w:p>
    <w:p w14:paraId="751153B7">
      <w:pPr>
        <w:rPr>
          <w:rFonts w:hint="eastAsia" w:ascii="方正小标宋_GBK" w:hAnsi="方正小标宋_GBK" w:eastAsia="方正小标宋_GBK" w:cs="方正小标宋_GBK"/>
        </w:rPr>
      </w:pPr>
    </w:p>
    <w:p w14:paraId="7B4D6867">
      <w:pPr>
        <w:rPr>
          <w:rFonts w:hint="eastAsia" w:ascii="方正小标宋_GBK" w:hAnsi="方正小标宋_GBK" w:eastAsia="方正小标宋_GBK" w:cs="方正小标宋_GBK"/>
        </w:rPr>
      </w:pPr>
    </w:p>
    <w:p w14:paraId="207429E5">
      <w:pPr>
        <w:rPr>
          <w:rFonts w:hint="eastAsia" w:ascii="方正小标宋_GBK" w:hAnsi="方正小标宋_GBK" w:eastAsia="方正小标宋_GBK" w:cs="方正小标宋_GBK"/>
        </w:rPr>
      </w:pPr>
    </w:p>
    <w:p w14:paraId="7A4E3ED7">
      <w:pPr>
        <w:rPr>
          <w:rFonts w:hint="eastAsia" w:ascii="方正小标宋_GBK" w:hAnsi="方正小标宋_GBK" w:eastAsia="方正小标宋_GBK" w:cs="方正小标宋_GBK"/>
        </w:rPr>
      </w:pPr>
    </w:p>
    <w:p w14:paraId="74370848">
      <w:pPr>
        <w:rPr>
          <w:rFonts w:hint="eastAsia" w:ascii="方正小标宋_GBK" w:hAnsi="方正小标宋_GBK" w:eastAsia="方正小标宋_GBK" w:cs="方正小标宋_GBK"/>
        </w:rPr>
      </w:pPr>
    </w:p>
    <w:p w14:paraId="36A400B6">
      <w:pPr>
        <w:rPr>
          <w:rFonts w:hint="eastAsia" w:ascii="方正小标宋_GBK" w:hAnsi="方正小标宋_GBK" w:eastAsia="方正小标宋_GBK" w:cs="方正小标宋_GBK"/>
        </w:rPr>
      </w:pPr>
    </w:p>
    <w:p w14:paraId="350A6A7B">
      <w:pPr>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br w:type="page"/>
      </w:r>
    </w:p>
    <w:p w14:paraId="53F75FE7">
      <w:pPr>
        <w:pStyle w:val="2"/>
        <w:numPr>
          <w:ilvl w:val="0"/>
          <w:numId w:val="0"/>
        </w:numPr>
        <w:spacing w:before="0" w:after="0" w:line="440" w:lineRule="exact"/>
        <w:jc w:val="center"/>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rPr>
        <w:t>第一章 招标公告</w:t>
      </w:r>
    </w:p>
    <w:p w14:paraId="542701CD">
      <w:pPr>
        <w:spacing w:line="440" w:lineRule="exact"/>
        <w:ind w:firstLine="480" w:firstLineChars="200"/>
      </w:pPr>
    </w:p>
    <w:p w14:paraId="40E38491">
      <w:pPr>
        <w:spacing w:line="380" w:lineRule="exact"/>
        <w:ind w:firstLine="640" w:firstLineChars="200"/>
        <w:jc w:val="left"/>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u w:val="single"/>
        </w:rPr>
        <w:t>重庆财经学院</w:t>
      </w:r>
      <w:r>
        <w:rPr>
          <w:rFonts w:ascii="Times New Roman" w:hAnsi="Times New Roman" w:eastAsia="方正仿宋_GBK" w:cs="Times New Roman"/>
          <w:sz w:val="32"/>
          <w:szCs w:val="32"/>
        </w:rPr>
        <w:t>（采购人）拟对“</w:t>
      </w:r>
      <w:r>
        <w:rPr>
          <w:rFonts w:hint="eastAsia" w:ascii="Times New Roman" w:hAnsi="Times New Roman" w:eastAsia="方正仿宋_GBK" w:cs="Times New Roman"/>
          <w:sz w:val="32"/>
          <w:szCs w:val="32"/>
          <w:u w:val="single"/>
        </w:rPr>
        <w:t>重庆财经学院教学服务器采购项目</w:t>
      </w:r>
      <w:r>
        <w:rPr>
          <w:rFonts w:ascii="Times New Roman" w:hAnsi="Times New Roman" w:eastAsia="方正仿宋_GBK" w:cs="Times New Roman"/>
          <w:sz w:val="32"/>
          <w:szCs w:val="32"/>
        </w:rPr>
        <w:t>”进行国内</w:t>
      </w:r>
      <w:r>
        <w:rPr>
          <w:rFonts w:hint="eastAsia" w:ascii="Times New Roman" w:hAnsi="Times New Roman" w:eastAsia="方正仿宋_GBK" w:cs="Times New Roman"/>
          <w:sz w:val="32"/>
          <w:szCs w:val="32"/>
        </w:rPr>
        <w:t>挂网招标</w:t>
      </w:r>
      <w:r>
        <w:rPr>
          <w:rFonts w:ascii="Times New Roman" w:hAnsi="Times New Roman" w:eastAsia="方正仿宋_GBK" w:cs="Times New Roman"/>
          <w:sz w:val="32"/>
          <w:szCs w:val="32"/>
        </w:rPr>
        <w:t>，兹邀请符合本次招标要求的供应商参加投标。</w:t>
      </w:r>
    </w:p>
    <w:p w14:paraId="670571E5">
      <w:pPr>
        <w:spacing w:line="380" w:lineRule="exact"/>
        <w:ind w:firstLine="643" w:firstLineChars="200"/>
        <w:rPr>
          <w:rFonts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一、招标项目内容：</w:t>
      </w:r>
      <w:r>
        <w:rPr>
          <w:rFonts w:ascii="Times New Roman" w:hAnsi="Times New Roman" w:eastAsia="方正仿宋_GBK" w:cs="Times New Roman"/>
          <w:sz w:val="32"/>
          <w:szCs w:val="32"/>
        </w:rPr>
        <w:t>（详见招标文件第三章 招标数量及参数要求）。</w:t>
      </w:r>
    </w:p>
    <w:p w14:paraId="06861C90">
      <w:pPr>
        <w:spacing w:line="380" w:lineRule="exact"/>
        <w:ind w:firstLine="640" w:firstLineChars="200"/>
        <w:rPr>
          <w:rFonts w:hint="eastAsia" w:ascii="Times New Roman" w:hAnsi="Times New Roman" w:eastAsia="方正仿宋_GBK" w:cs="Times New Roman"/>
          <w:color w:val="0000FF"/>
          <w:sz w:val="28"/>
          <w:szCs w:val="28"/>
          <w:lang w:eastAsia="zh-CN"/>
        </w:rPr>
      </w:pPr>
      <w:r>
        <w:rPr>
          <w:rFonts w:hint="eastAsia" w:ascii="Times New Roman" w:hAnsi="Times New Roman" w:eastAsia="方正仿宋_GBK" w:cs="Times New Roman"/>
          <w:sz w:val="32"/>
          <w:szCs w:val="32"/>
        </w:rPr>
        <w:t>项目内容的简介:采购建设一套由通用服务器和 AI 算力服务器组成的校级本地化计算资源支撑平台</w:t>
      </w:r>
      <w:r>
        <w:rPr>
          <w:rFonts w:hint="eastAsia" w:ascii="Times New Roman" w:hAnsi="Times New Roman" w:eastAsia="方正仿宋_GBK" w:cs="Times New Roman"/>
          <w:sz w:val="32"/>
          <w:szCs w:val="32"/>
          <w:lang w:eastAsia="zh-CN"/>
        </w:rPr>
        <w:t>。</w:t>
      </w:r>
    </w:p>
    <w:p w14:paraId="0C328F67">
      <w:pPr>
        <w:numPr>
          <w:ilvl w:val="0"/>
          <w:numId w:val="10"/>
        </w:numPr>
        <w:spacing w:line="380" w:lineRule="exact"/>
        <w:ind w:firstLine="643" w:firstLineChars="200"/>
        <w:rPr>
          <w:rFonts w:ascii="Times New Roman" w:hAnsi="Times New Roman" w:eastAsia="方正仿宋_GBK" w:cs="Times New Roman"/>
          <w:color w:val="0000FF"/>
          <w:sz w:val="28"/>
          <w:szCs w:val="28"/>
        </w:rPr>
      </w:pPr>
      <w:r>
        <w:rPr>
          <w:rFonts w:hint="eastAsia" w:ascii="方正楷体_GBK" w:hAnsi="方正楷体_GBK" w:eastAsia="方正楷体_GBK" w:cs="方正楷体_GBK"/>
          <w:b/>
          <w:bCs/>
          <w:sz w:val="32"/>
          <w:szCs w:val="32"/>
        </w:rPr>
        <w:t>资金来源：</w:t>
      </w:r>
      <w:r>
        <w:rPr>
          <w:rFonts w:hint="eastAsia" w:ascii="Times New Roman" w:hAnsi="Times New Roman" w:eastAsia="方正仿宋_GBK" w:cs="Times New Roman"/>
          <w:sz w:val="32"/>
          <w:szCs w:val="32"/>
        </w:rPr>
        <w:t>预算经费。</w:t>
      </w:r>
    </w:p>
    <w:p w14:paraId="302BBABC">
      <w:pPr>
        <w:spacing w:line="380" w:lineRule="exact"/>
        <w:ind w:firstLine="643" w:firstLineChars="200"/>
        <w:rPr>
          <w:rFonts w:hint="eastAsia" w:ascii="方正楷体_GBK" w:hAnsi="方正楷体_GBK" w:eastAsia="方正楷体_GBK" w:cs="方正楷体_GBK"/>
          <w:b/>
          <w:bCs/>
          <w:sz w:val="32"/>
          <w:szCs w:val="32"/>
        </w:rPr>
      </w:pPr>
      <w:r>
        <w:rPr>
          <w:rFonts w:ascii="方正楷体_GBK" w:hAnsi="方正楷体_GBK" w:eastAsia="方正楷体_GBK" w:cs="方正楷体_GBK"/>
          <w:b/>
          <w:bCs/>
          <w:sz w:val="32"/>
          <w:szCs w:val="32"/>
        </w:rPr>
        <w:t>三、</w:t>
      </w:r>
      <w:r>
        <w:rPr>
          <w:rFonts w:hint="eastAsia" w:ascii="方正楷体_GBK" w:hAnsi="方正楷体_GBK" w:eastAsia="方正楷体_GBK" w:cs="方正楷体_GBK"/>
          <w:b/>
          <w:bCs/>
          <w:sz w:val="32"/>
          <w:szCs w:val="32"/>
        </w:rPr>
        <w:t>投标人资格要求</w:t>
      </w:r>
    </w:p>
    <w:p w14:paraId="592156D7">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bookmarkStart w:id="226" w:name="_GoBack"/>
      <w:bookmarkEnd w:id="226"/>
      <w:r>
        <w:rPr>
          <w:rFonts w:hint="eastAsia" w:ascii="Times New Roman" w:hAnsi="Times New Roman" w:eastAsia="方正仿宋_GBK" w:cs="Times New Roman"/>
          <w:sz w:val="32"/>
          <w:szCs w:val="32"/>
        </w:rPr>
        <w:t>投标人具有独立承担民事责任的能力，需提供营业执照等证明文件；</w:t>
      </w:r>
    </w:p>
    <w:p w14:paraId="55E2C5B5">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2．投标人具有良好的商业信誉和健全的财务会计制度，需提供近三年的财务报表；</w:t>
      </w:r>
    </w:p>
    <w:p w14:paraId="48293860">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3．投标人具有依法缴纳税收和社会保障资金的良好</w:t>
      </w:r>
      <w:r>
        <w:rPr>
          <w:rFonts w:hint="eastAsia" w:ascii="Times New Roman" w:hAnsi="Times New Roman" w:eastAsia="方正仿宋_GBK" w:cs="Times New Roman"/>
          <w:sz w:val="32"/>
          <w:szCs w:val="32"/>
          <w:lang w:eastAsia="zh-CN"/>
        </w:rPr>
        <w:t>记</w:t>
      </w:r>
      <w:r>
        <w:rPr>
          <w:rFonts w:hint="eastAsia" w:ascii="Times New Roman" w:hAnsi="Times New Roman" w:eastAsia="方正仿宋_GBK" w:cs="Times New Roman"/>
          <w:sz w:val="32"/>
          <w:szCs w:val="32"/>
        </w:rPr>
        <w:t>录；</w:t>
      </w:r>
    </w:p>
    <w:p w14:paraId="374B5F39">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4．投标人具有履行合同所必需的专业技术能力；</w:t>
      </w:r>
    </w:p>
    <w:p w14:paraId="7209C1EC">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5．投标人参加政府采购活动前三年内，没有骗取中标行为，无不正当理由放弃中标（成交）行为，未进行过恶意投诉，在经营活动中没有违法、违规记录；</w:t>
      </w:r>
    </w:p>
    <w:p w14:paraId="16E2AFDF">
      <w:pPr>
        <w:numPr>
          <w:ilvl w:val="0"/>
          <w:numId w:val="11"/>
        </w:num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投标方符合国家现行有关服务器、计算机设备、信息技术设备安全、电磁兼容、网络安全、机房运行环境及节能环保等相关标准和规范要求，包括但不限于：</w:t>
      </w:r>
    </w:p>
    <w:p w14:paraId="627DBE99">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（1）GB/T 9813.3-2017《计算机通用规范 第3部分：服务器》；</w:t>
      </w:r>
    </w:p>
    <w:p w14:paraId="4C056F0B">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（2）GB 4943.1-2022《音视频、信息技术和通信技术设备 第1部分：安全要求》；</w:t>
      </w:r>
    </w:p>
    <w:p w14:paraId="7EDC5172">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（3）GB/T 9254.1-2021《信息技术设备、多媒体设备和接收机 电磁兼容 第1部分：发射要求》；</w:t>
      </w:r>
    </w:p>
    <w:p w14:paraId="13CA3B7A">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（4）GB/T 2887-2011《计算机场地通用规范》；</w:t>
      </w:r>
    </w:p>
    <w:p w14:paraId="0410A0EA">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（5）如涉及学校信息系统安全建设和运行管理，应符合 GB/T 22239-2019《信息安全技术 网络安全等级保护基本要求》等网络安全相关标准要求；</w:t>
      </w:r>
    </w:p>
    <w:p w14:paraId="44E6558E">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（6）应符合国家关于节能、环保、绿色采购、产品质量、安全生产、运输安装及售后服务等方面的现行规定和规范要求。</w:t>
      </w:r>
    </w:p>
    <w:p w14:paraId="72530F8D">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7.具有完善的质量保证和售后服务体系。</w:t>
      </w:r>
    </w:p>
    <w:p w14:paraId="151C5DC1">
      <w:pPr>
        <w:spacing w:line="380" w:lineRule="exact"/>
        <w:ind w:firstLine="640" w:firstLineChars="200"/>
        <w:rPr>
          <w:rFonts w:ascii="Times New Roman" w:hAnsi="Times New Roman" w:eastAsia="方正仿宋_GBK" w:cs="Times New Roman"/>
          <w:sz w:val="32"/>
          <w:szCs w:val="32"/>
        </w:rPr>
      </w:pPr>
    </w:p>
    <w:p w14:paraId="24B75245">
      <w:pPr>
        <w:spacing w:line="380" w:lineRule="exact"/>
        <w:ind w:firstLine="643" w:firstLineChars="200"/>
        <w:rPr>
          <w:rFonts w:hint="eastAsia" w:ascii="方正楷体_GBK" w:hAnsi="方正楷体_GBK" w:eastAsia="方正楷体_GBK" w:cs="方正楷体_GBK"/>
          <w:b/>
          <w:bCs/>
          <w:sz w:val="32"/>
          <w:szCs w:val="32"/>
        </w:rPr>
      </w:pPr>
      <w:r>
        <w:rPr>
          <w:rFonts w:ascii="方正楷体_GBK" w:hAnsi="方正楷体_GBK" w:eastAsia="方正楷体_GBK" w:cs="方正楷体_GBK"/>
          <w:b/>
          <w:bCs/>
          <w:sz w:val="32"/>
          <w:szCs w:val="32"/>
        </w:rPr>
        <w:t>四、投标、开标有关说明</w:t>
      </w:r>
    </w:p>
    <w:p w14:paraId="0DB076CC">
      <w:pPr>
        <w:spacing w:line="380" w:lineRule="exact"/>
        <w:ind w:firstLine="640" w:firstLineChars="200"/>
        <w:rPr>
          <w:rFonts w:ascii="Times New Roman" w:hAnsi="Times New Roman" w:eastAsia="方正仿宋_GBK" w:cs="Times New Roman"/>
          <w:b/>
          <w:bCs/>
          <w:color w:val="auto"/>
          <w:sz w:val="32"/>
          <w:szCs w:val="32"/>
        </w:rPr>
      </w:pPr>
      <w:r>
        <w:rPr>
          <w:rFonts w:hint="eastAsia" w:ascii="Times New Roman" w:hAnsi="Times New Roman" w:eastAsia="方正仿宋_GBK" w:cs="Times New Roman"/>
          <w:sz w:val="32"/>
          <w:szCs w:val="32"/>
        </w:rPr>
        <w:t>（一）招标文件公告期限：</w:t>
      </w:r>
      <w:r>
        <w:rPr>
          <w:rFonts w:ascii="Times New Roman" w:hAnsi="Times New Roman" w:eastAsia="方正仿宋_GBK" w:cs="Times New Roman"/>
          <w:color w:val="auto"/>
          <w:sz w:val="28"/>
          <w:szCs w:val="28"/>
        </w:rPr>
        <w:t>202</w:t>
      </w:r>
      <w:r>
        <w:rPr>
          <w:rFonts w:hint="eastAsia" w:ascii="Times New Roman" w:hAnsi="Times New Roman" w:eastAsia="方正仿宋_GBK" w:cs="Times New Roman"/>
          <w:color w:val="auto"/>
          <w:sz w:val="28"/>
          <w:szCs w:val="28"/>
        </w:rPr>
        <w:t>6年6月2</w:t>
      </w:r>
      <w:r>
        <w:rPr>
          <w:rFonts w:hint="eastAsia" w:ascii="Times New Roman" w:hAnsi="Times New Roman" w:eastAsia="方正仿宋_GBK" w:cs="Times New Roman"/>
          <w:color w:val="auto"/>
          <w:sz w:val="28"/>
          <w:szCs w:val="28"/>
          <w:lang w:val="en-US" w:eastAsia="zh-CN"/>
        </w:rPr>
        <w:t>3</w:t>
      </w:r>
      <w:r>
        <w:rPr>
          <w:rFonts w:hint="eastAsia" w:ascii="Times New Roman" w:hAnsi="Times New Roman" w:eastAsia="方正仿宋_GBK" w:cs="Times New Roman"/>
          <w:color w:val="auto"/>
          <w:sz w:val="28"/>
          <w:szCs w:val="28"/>
        </w:rPr>
        <w:t xml:space="preserve">日至 </w:t>
      </w:r>
      <w:r>
        <w:rPr>
          <w:rFonts w:ascii="Times New Roman" w:hAnsi="Times New Roman" w:eastAsia="方正仿宋_GBK" w:cs="Times New Roman"/>
          <w:color w:val="auto"/>
          <w:sz w:val="28"/>
          <w:szCs w:val="28"/>
        </w:rPr>
        <w:t>202</w:t>
      </w:r>
      <w:r>
        <w:rPr>
          <w:rFonts w:hint="eastAsia" w:ascii="Times New Roman" w:hAnsi="Times New Roman" w:eastAsia="方正仿宋_GBK" w:cs="Times New Roman"/>
          <w:color w:val="auto"/>
          <w:sz w:val="28"/>
          <w:szCs w:val="28"/>
        </w:rPr>
        <w:t>6年6月2</w:t>
      </w:r>
      <w:r>
        <w:rPr>
          <w:rFonts w:hint="eastAsia" w:ascii="Times New Roman" w:hAnsi="Times New Roman" w:eastAsia="方正仿宋_GBK" w:cs="Times New Roman"/>
          <w:color w:val="auto"/>
          <w:sz w:val="28"/>
          <w:szCs w:val="28"/>
          <w:lang w:val="en-US" w:eastAsia="zh-CN"/>
        </w:rPr>
        <w:t>5</w:t>
      </w:r>
      <w:r>
        <w:rPr>
          <w:rFonts w:hint="eastAsia" w:ascii="Times New Roman" w:hAnsi="Times New Roman" w:eastAsia="方正仿宋_GBK" w:cs="Times New Roman"/>
          <w:color w:val="auto"/>
          <w:sz w:val="28"/>
          <w:szCs w:val="28"/>
        </w:rPr>
        <w:t>日。</w:t>
      </w:r>
    </w:p>
    <w:p w14:paraId="25D02395">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（二）招标文件发售期限：同招标文件公告期限。</w:t>
      </w:r>
    </w:p>
    <w:p w14:paraId="2F90E0DE">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（三）招标文件发售地点：</w:t>
      </w:r>
    </w:p>
    <w:p w14:paraId="5FDB6EC9">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1.现场发售地址：重庆市巴南区龙洲湾尚文大道906号行政楼2420办公室。</w:t>
      </w:r>
    </w:p>
    <w:p w14:paraId="06508ABE">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2.直接在学校官网下载招标文件。</w:t>
      </w:r>
    </w:p>
    <w:p w14:paraId="3FF06D85">
      <w:pPr>
        <w:spacing w:line="38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sz w:val="32"/>
          <w:szCs w:val="32"/>
        </w:rPr>
        <w:t>（四）对招标文件的疑问提出时间（若有）：</w:t>
      </w:r>
      <w:r>
        <w:rPr>
          <w:rFonts w:ascii="Times New Roman" w:hAnsi="Times New Roman" w:eastAsia="方正仿宋_GBK" w:cs="Times New Roman"/>
          <w:color w:val="auto"/>
          <w:sz w:val="28"/>
          <w:szCs w:val="28"/>
        </w:rPr>
        <w:t>202</w:t>
      </w:r>
      <w:r>
        <w:rPr>
          <w:rFonts w:hint="eastAsia" w:ascii="Times New Roman" w:hAnsi="Times New Roman" w:eastAsia="方正仿宋_GBK" w:cs="Times New Roman"/>
          <w:color w:val="auto"/>
          <w:sz w:val="28"/>
          <w:szCs w:val="28"/>
        </w:rPr>
        <w:t>6年6月2</w:t>
      </w:r>
      <w:r>
        <w:rPr>
          <w:rFonts w:hint="eastAsia" w:ascii="Times New Roman" w:hAnsi="Times New Roman" w:eastAsia="方正仿宋_GBK" w:cs="Times New Roman"/>
          <w:color w:val="auto"/>
          <w:sz w:val="28"/>
          <w:szCs w:val="28"/>
          <w:lang w:val="en-US" w:eastAsia="zh-CN"/>
        </w:rPr>
        <w:t>6</w:t>
      </w:r>
      <w:r>
        <w:rPr>
          <w:rFonts w:hint="eastAsia" w:ascii="Times New Roman" w:hAnsi="Times New Roman" w:eastAsia="方正仿宋_GBK" w:cs="Times New Roman"/>
          <w:color w:val="auto"/>
          <w:sz w:val="28"/>
          <w:szCs w:val="28"/>
        </w:rPr>
        <w:t>日以内</w:t>
      </w:r>
      <w:r>
        <w:rPr>
          <w:rFonts w:hint="eastAsia" w:ascii="Times New Roman" w:hAnsi="Times New Roman" w:eastAsia="方正仿宋_GBK" w:cs="Times New Roman"/>
          <w:color w:val="auto"/>
          <w:sz w:val="32"/>
          <w:szCs w:val="32"/>
        </w:rPr>
        <w:t>。</w:t>
      </w:r>
    </w:p>
    <w:p w14:paraId="6BF1A088">
      <w:pPr>
        <w:spacing w:line="380" w:lineRule="exact"/>
        <w:ind w:firstLine="640" w:firstLineChars="200"/>
        <w:rPr>
          <w:rFonts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（五）投标截止时间、投标地点、开标时间：</w:t>
      </w:r>
      <w:r>
        <w:rPr>
          <w:rFonts w:ascii="Times New Roman" w:hAnsi="Times New Roman" w:eastAsia="方正仿宋_GBK" w:cs="Times New Roman"/>
          <w:sz w:val="32"/>
          <w:szCs w:val="32"/>
        </w:rPr>
        <w:t>在重庆财经学院</w:t>
      </w:r>
      <w:r>
        <w:rPr>
          <w:rFonts w:hint="eastAsia" w:ascii="Times New Roman" w:hAnsi="Times New Roman" w:eastAsia="方正仿宋_GBK" w:cs="Times New Roman"/>
          <w:sz w:val="32"/>
          <w:szCs w:val="32"/>
        </w:rPr>
        <w:t>官</w:t>
      </w:r>
      <w:r>
        <w:rPr>
          <w:rFonts w:ascii="Times New Roman" w:hAnsi="Times New Roman" w:eastAsia="方正仿宋_GBK" w:cs="Times New Roman"/>
          <w:sz w:val="32"/>
          <w:szCs w:val="32"/>
        </w:rPr>
        <w:t>网上发布</w:t>
      </w:r>
      <w:r>
        <w:rPr>
          <w:rFonts w:hint="eastAsia" w:ascii="Times New Roman" w:hAnsi="Times New Roman" w:eastAsia="方正仿宋_GBK" w:cs="Times New Roman"/>
          <w:sz w:val="32"/>
          <w:szCs w:val="32"/>
        </w:rPr>
        <w:t>投标截止时间公告</w:t>
      </w:r>
      <w:r>
        <w:rPr>
          <w:rFonts w:ascii="Times New Roman" w:hAnsi="Times New Roman" w:eastAsia="方正仿宋_GBK" w:cs="Times New Roman"/>
          <w:sz w:val="32"/>
          <w:szCs w:val="32"/>
        </w:rPr>
        <w:t>。</w:t>
      </w:r>
    </w:p>
    <w:p w14:paraId="271794A7">
      <w:pPr>
        <w:spacing w:line="380" w:lineRule="exact"/>
        <w:ind w:firstLine="640" w:firstLineChars="200"/>
        <w:rPr>
          <w:rFonts w:ascii="Times New Roman" w:hAnsi="Times New Roman" w:eastAsia="方正仿宋_GBK" w:cs="Times New Roman"/>
          <w:sz w:val="32"/>
          <w:szCs w:val="32"/>
        </w:rPr>
      </w:pPr>
    </w:p>
    <w:p w14:paraId="0A40E082">
      <w:pPr>
        <w:spacing w:line="380" w:lineRule="exact"/>
        <w:ind w:firstLine="643" w:firstLineChars="200"/>
        <w:rPr>
          <w:rFonts w:hint="eastAsia" w:ascii="方正楷体_GBK" w:hAnsi="方正楷体_GBK" w:eastAsia="方正楷体_GBK" w:cs="方正楷体_GBK"/>
          <w:b/>
          <w:bCs/>
          <w:sz w:val="32"/>
          <w:szCs w:val="32"/>
        </w:rPr>
      </w:pPr>
      <w:r>
        <w:rPr>
          <w:rFonts w:ascii="方正楷体_GBK" w:hAnsi="方正楷体_GBK" w:eastAsia="方正楷体_GBK" w:cs="方正楷体_GBK"/>
          <w:b/>
          <w:bCs/>
          <w:sz w:val="32"/>
          <w:szCs w:val="32"/>
        </w:rPr>
        <w:t>五、招标文件购买费、投标保证金</w:t>
      </w:r>
      <w:r>
        <w:rPr>
          <w:rFonts w:hint="eastAsia" w:ascii="方正楷体_GBK" w:hAnsi="方正楷体_GBK" w:eastAsia="方正楷体_GBK" w:cs="方正楷体_GBK"/>
          <w:b/>
          <w:bCs/>
          <w:sz w:val="32"/>
          <w:szCs w:val="32"/>
        </w:rPr>
        <w:t>、中标服务费</w:t>
      </w:r>
    </w:p>
    <w:p w14:paraId="7FE79BB7">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招标文件</w:t>
      </w:r>
      <w:r>
        <w:rPr>
          <w:rFonts w:hint="eastAsia" w:ascii="Times New Roman" w:hAnsi="Times New Roman" w:eastAsia="方正仿宋_GBK" w:cs="Times New Roman"/>
          <w:sz w:val="32"/>
          <w:szCs w:val="32"/>
        </w:rPr>
        <w:t>购买费：人民币200元/份；</w:t>
      </w:r>
    </w:p>
    <w:p w14:paraId="725C5854">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报名费收费账户：1001010120010030105，重庆财经学院，农村商业银行重庆巴南支行。</w:t>
      </w:r>
    </w:p>
    <w:p w14:paraId="4BFF7CD9">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1.汇款的投标方须在付款凭证摘要/用途中填写</w:t>
      </w:r>
      <w:r>
        <w:rPr>
          <w:rFonts w:hint="eastAsia" w:ascii="Times New Roman" w:hAnsi="Times New Roman" w:eastAsia="方正仿宋_GBK" w:cs="Times New Roman"/>
          <w:sz w:val="32"/>
          <w:szCs w:val="32"/>
          <w:u w:val="single"/>
        </w:rPr>
        <w:t>“重庆财经学院教学服务器采购项目招标文件购买费”</w:t>
      </w:r>
      <w:r>
        <w:rPr>
          <w:rFonts w:hint="eastAsia" w:ascii="Times New Roman" w:hAnsi="Times New Roman" w:eastAsia="方正仿宋_GBK" w:cs="Times New Roman"/>
          <w:sz w:val="32"/>
          <w:szCs w:val="32"/>
        </w:rPr>
        <w:t>，并在投标文件最后附纸质的转账凭证复印件。</w:t>
      </w:r>
    </w:p>
    <w:p w14:paraId="658867E6">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2.汇款截止时间：同招标文件公告截止日期。</w:t>
      </w:r>
    </w:p>
    <w:p w14:paraId="4F1459A5">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供应商在银行转账（电汇）时，须充分考虑银行转账（电汇）的时间差风险，如同城转账、异地转账或汇款、跨行转账或电汇的时间要求。</w:t>
      </w:r>
    </w:p>
    <w:p w14:paraId="751CF356">
      <w:pPr>
        <w:spacing w:line="38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3.汇款方请在投标截止时间公告日前，及时将缴费记录截图、公司名称、项目负责人姓名、联系电话以邮件发送至1308772756@qq.com邮箱，以便于及时为其开具收款凭证</w:t>
      </w:r>
      <w:r>
        <w:rPr>
          <w:rFonts w:hint="eastAsia" w:ascii="Times New Roman" w:hAnsi="Times New Roman" w:eastAsia="方正仿宋_GBK" w:cs="Times New Roman"/>
          <w:sz w:val="32"/>
          <w:szCs w:val="32"/>
        </w:rPr>
        <w:t>。</w:t>
      </w:r>
    </w:p>
    <w:p w14:paraId="6ABB6F46">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（二）投标保证金</w:t>
      </w:r>
    </w:p>
    <w:p w14:paraId="78C9D232">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投标人应以现金的形式提供人民币</w:t>
      </w:r>
      <w:r>
        <w:rPr>
          <w:rFonts w:hint="eastAsia" w:ascii="Times New Roman" w:hAnsi="Times New Roman" w:eastAsia="方正仿宋_GBK" w:cs="Times New Roman"/>
          <w:color w:val="000000" w:themeColor="text1"/>
          <w:sz w:val="32"/>
          <w:szCs w:val="32"/>
          <w:u w:val="single"/>
        </w:rPr>
        <w:t>10000</w:t>
      </w:r>
      <w:r>
        <w:rPr>
          <w:rFonts w:hint="eastAsia" w:ascii="Times New Roman" w:hAnsi="Times New Roman" w:eastAsia="方正仿宋_GBK" w:cs="Times New Roman"/>
          <w:color w:val="auto"/>
          <w:sz w:val="32"/>
          <w:szCs w:val="32"/>
          <w:u w:val="single"/>
        </w:rPr>
        <w:t>元（大写壹万元）</w:t>
      </w:r>
      <w:r>
        <w:rPr>
          <w:rFonts w:hint="eastAsia" w:ascii="Times New Roman" w:hAnsi="Times New Roman" w:eastAsia="方正仿宋_GBK" w:cs="Times New Roman"/>
          <w:sz w:val="32"/>
          <w:szCs w:val="32"/>
        </w:rPr>
        <w:t>的投标保证金，投标保证金以信封密封加盖单位公章，并注明单位名称。</w:t>
      </w:r>
    </w:p>
    <w:p w14:paraId="6E26037F">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非中标人的投标人保证金，现场退还；中标人与采购人签订合同后，投标保证金自动转为履约保证金，多退少补。</w:t>
      </w:r>
    </w:p>
    <w:p w14:paraId="3A447AB2">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（三）中标服务费</w:t>
      </w:r>
    </w:p>
    <w:p w14:paraId="2785C6A2">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11"/>
      </w:tblGrid>
      <w:tr w14:paraId="65BD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2704F3A6">
            <w:pPr>
              <w:pStyle w:val="41"/>
              <w:spacing w:line="380" w:lineRule="exact"/>
              <w:ind w:firstLine="0" w:firstLineChars="0"/>
              <w:jc w:val="center"/>
              <w:rPr>
                <w:szCs w:val="24"/>
              </w:rPr>
            </w:pPr>
            <w:r>
              <w:rPr>
                <w:rFonts w:hint="eastAsia"/>
                <w:szCs w:val="24"/>
              </w:rPr>
              <w:t>中标金额（万元）</w:t>
            </w:r>
          </w:p>
        </w:tc>
        <w:tc>
          <w:tcPr>
            <w:tcW w:w="4211" w:type="dxa"/>
          </w:tcPr>
          <w:p w14:paraId="7BCE4300">
            <w:pPr>
              <w:pStyle w:val="41"/>
              <w:spacing w:line="380" w:lineRule="exact"/>
              <w:ind w:firstLine="0" w:firstLineChars="0"/>
              <w:jc w:val="center"/>
              <w:rPr>
                <w:szCs w:val="24"/>
              </w:rPr>
            </w:pPr>
            <w:r>
              <w:rPr>
                <w:rFonts w:hint="eastAsia"/>
                <w:szCs w:val="24"/>
              </w:rPr>
              <w:t>费率（%）</w:t>
            </w:r>
          </w:p>
        </w:tc>
      </w:tr>
      <w:tr w14:paraId="05C8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5357D466">
            <w:pPr>
              <w:pStyle w:val="41"/>
              <w:spacing w:line="380" w:lineRule="exact"/>
              <w:ind w:firstLine="0" w:firstLineChars="0"/>
              <w:jc w:val="center"/>
              <w:rPr>
                <w:szCs w:val="24"/>
              </w:rPr>
            </w:pPr>
            <w:r>
              <w:rPr>
                <w:rFonts w:hint="eastAsia"/>
                <w:szCs w:val="24"/>
              </w:rPr>
              <w:t>100以下</w:t>
            </w:r>
          </w:p>
        </w:tc>
        <w:tc>
          <w:tcPr>
            <w:tcW w:w="4211" w:type="dxa"/>
          </w:tcPr>
          <w:p w14:paraId="2CBB4ED5">
            <w:pPr>
              <w:pStyle w:val="41"/>
              <w:spacing w:line="380" w:lineRule="exact"/>
              <w:ind w:firstLine="0" w:firstLineChars="0"/>
              <w:jc w:val="center"/>
              <w:rPr>
                <w:szCs w:val="24"/>
              </w:rPr>
            </w:pPr>
            <w:r>
              <w:rPr>
                <w:rFonts w:hint="eastAsia"/>
                <w:szCs w:val="24"/>
              </w:rPr>
              <w:t>1.5</w:t>
            </w:r>
          </w:p>
        </w:tc>
      </w:tr>
      <w:tr w14:paraId="46F0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6D8AF23D">
            <w:pPr>
              <w:pStyle w:val="41"/>
              <w:spacing w:line="380" w:lineRule="exact"/>
              <w:ind w:firstLine="0" w:firstLineChars="0"/>
              <w:jc w:val="center"/>
              <w:rPr>
                <w:szCs w:val="24"/>
              </w:rPr>
            </w:pPr>
            <w:r>
              <w:rPr>
                <w:rFonts w:hint="eastAsia"/>
                <w:szCs w:val="24"/>
              </w:rPr>
              <w:t>100-500</w:t>
            </w:r>
          </w:p>
        </w:tc>
        <w:tc>
          <w:tcPr>
            <w:tcW w:w="4211" w:type="dxa"/>
          </w:tcPr>
          <w:p w14:paraId="762B961F">
            <w:pPr>
              <w:pStyle w:val="41"/>
              <w:spacing w:line="380" w:lineRule="exact"/>
              <w:ind w:firstLine="0" w:firstLineChars="0"/>
              <w:jc w:val="center"/>
              <w:rPr>
                <w:szCs w:val="24"/>
              </w:rPr>
            </w:pPr>
            <w:r>
              <w:rPr>
                <w:rFonts w:hint="eastAsia"/>
                <w:szCs w:val="24"/>
              </w:rPr>
              <w:t>1.1</w:t>
            </w:r>
          </w:p>
        </w:tc>
      </w:tr>
    </w:tbl>
    <w:p w14:paraId="231D819B">
      <w:pPr>
        <w:spacing w:line="380" w:lineRule="exact"/>
        <w:ind w:firstLine="643" w:firstLineChars="200"/>
        <w:rPr>
          <w:rFonts w:ascii="Times New Roman" w:hAnsi="Times New Roman" w:eastAsia="方正仿宋_GBK" w:cs="Times New Roman"/>
          <w:b/>
          <w:bCs/>
          <w:sz w:val="32"/>
          <w:szCs w:val="32"/>
        </w:rPr>
      </w:pPr>
    </w:p>
    <w:p w14:paraId="51B96682">
      <w:pPr>
        <w:spacing w:line="380" w:lineRule="exact"/>
        <w:ind w:firstLine="643"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六</w:t>
      </w:r>
      <w:r>
        <w:rPr>
          <w:rFonts w:ascii="Times New Roman" w:hAnsi="Times New Roman" w:eastAsia="方正仿宋_GBK" w:cs="Times New Roman"/>
          <w:b/>
          <w:bCs/>
          <w:sz w:val="32"/>
          <w:szCs w:val="32"/>
        </w:rPr>
        <w:t xml:space="preserve">、投标有关规定 </w:t>
      </w:r>
    </w:p>
    <w:p w14:paraId="1503C869">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（一）单位负责人为同一人或者存在直接控股、管理关系的不同投标人，不得参加同一合同项（包）下的采购活动。 </w:t>
      </w:r>
    </w:p>
    <w:p w14:paraId="1D8E4411">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（二）本项目招标文件公告、截标时间公告、澄清文件（若有）等一律在“重庆财经学院官网（http://www.cfec.edu.cn）上发布；无论投标人下载或领取与否，均视同投标人已知晓本项目的所有内容。 </w:t>
      </w:r>
    </w:p>
    <w:p w14:paraId="47724937">
      <w:pPr>
        <w:spacing w:line="380" w:lineRule="exact"/>
        <w:ind w:firstLine="640" w:firstLineChars="200"/>
        <w:rPr>
          <w:rFonts w:ascii="Times New Roman" w:hAnsi="Times New Roman" w:eastAsia="方正仿宋_GBK" w:cs="Times New Roman"/>
          <w:b/>
          <w:bCs/>
          <w:color w:val="FF0000"/>
          <w:sz w:val="32"/>
          <w:szCs w:val="32"/>
        </w:rPr>
      </w:pPr>
      <w:r>
        <w:rPr>
          <w:rFonts w:hint="eastAsia" w:ascii="Times New Roman" w:hAnsi="Times New Roman" w:eastAsia="方正仿宋_GBK" w:cs="Times New Roman"/>
          <w:sz w:val="32"/>
          <w:szCs w:val="32"/>
        </w:rPr>
        <w:t xml:space="preserve">（三）超过投标截止时间递交的投标文件，恕不接收。 </w:t>
      </w:r>
      <w:r>
        <w:rPr>
          <w:rFonts w:ascii="Times New Roman" w:hAnsi="Times New Roman" w:eastAsia="方正仿宋_GBK" w:cs="Times New Roman"/>
          <w:b/>
          <w:bCs/>
          <w:sz w:val="32"/>
          <w:szCs w:val="32"/>
        </w:rPr>
        <w:t>本次招标不接受邮寄的投标文件。</w:t>
      </w:r>
    </w:p>
    <w:p w14:paraId="0FE56AA4">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（四）投标费用：无论投标结果如何，投标人参与本项目投标的所有费用均应由投标人自行承担。投标资格不得转让 。</w:t>
      </w:r>
    </w:p>
    <w:p w14:paraId="13B82C56">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（五）本项目不接受联合体参与投标。 </w:t>
      </w:r>
    </w:p>
    <w:p w14:paraId="327E8243">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（六）投标人列入失信被执行人、重大税收违法案件当事人名单、政府采购严重违法失信行为单位，将拒绝其参与本次采购活动。</w:t>
      </w:r>
    </w:p>
    <w:p w14:paraId="57A9FA8E">
      <w:pPr>
        <w:spacing w:line="380" w:lineRule="exact"/>
        <w:ind w:left="480" w:leftChars="200" w:firstLine="320" w:firstLineChars="100"/>
        <w:rPr>
          <w:rFonts w:ascii="Times New Roman" w:hAnsi="Times New Roman" w:eastAsia="方正仿宋_GBK" w:cs="Times New Roman"/>
          <w:sz w:val="32"/>
          <w:szCs w:val="32"/>
        </w:rPr>
      </w:pPr>
    </w:p>
    <w:p w14:paraId="717F40DA">
      <w:pPr>
        <w:spacing w:line="380" w:lineRule="exact"/>
        <w:ind w:firstLine="643"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七、联系方式（收件地址）</w:t>
      </w:r>
    </w:p>
    <w:p w14:paraId="5BB9B13F">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rPr>
        <w:t>朱</w:t>
      </w:r>
      <w:r>
        <w:rPr>
          <w:rFonts w:ascii="Times New Roman" w:hAnsi="Times New Roman" w:eastAsia="方正仿宋_GBK" w:cs="Times New Roman"/>
          <w:sz w:val="32"/>
          <w:szCs w:val="32"/>
        </w:rPr>
        <w:t xml:space="preserve">老师   </w:t>
      </w:r>
    </w:p>
    <w:p w14:paraId="3C304F78">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rPr>
        <w:t>023-</w:t>
      </w:r>
      <w:r>
        <w:rPr>
          <w:rFonts w:ascii="Times New Roman" w:hAnsi="Times New Roman" w:eastAsia="方正仿宋_GBK" w:cs="Times New Roman"/>
          <w:sz w:val="32"/>
          <w:szCs w:val="32"/>
        </w:rPr>
        <w:t>88968</w:t>
      </w:r>
      <w:r>
        <w:rPr>
          <w:rFonts w:hint="eastAsia" w:ascii="Times New Roman" w:hAnsi="Times New Roman" w:eastAsia="方正仿宋_GBK" w:cs="Times New Roman"/>
          <w:sz w:val="32"/>
          <w:szCs w:val="32"/>
        </w:rPr>
        <w:t>736</w:t>
      </w:r>
    </w:p>
    <w:p w14:paraId="5C0B6520">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技术咨询：吴老师，电话：13452097035</w:t>
      </w:r>
    </w:p>
    <w:p w14:paraId="4F38C3BD">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招标人：重庆财经学院</w:t>
      </w:r>
    </w:p>
    <w:p w14:paraId="1135BD0C">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地址：重庆市巴南区龙洲湾尚文大道906号</w:t>
      </w:r>
      <w:r>
        <w:rPr>
          <w:rFonts w:hint="eastAsia" w:ascii="Times New Roman" w:hAnsi="Times New Roman" w:eastAsia="方正仿宋_GBK" w:cs="Times New Roman"/>
          <w:sz w:val="32"/>
          <w:szCs w:val="32"/>
        </w:rPr>
        <w:t>行政楼2420后勤处。</w:t>
      </w:r>
    </w:p>
    <w:p w14:paraId="544A1970">
      <w:pPr>
        <w:spacing w:line="380" w:lineRule="exact"/>
        <w:jc w:val="right"/>
        <w:rPr>
          <w:rFonts w:ascii="Times New Roman" w:hAnsi="Times New Roman" w:eastAsia="方正仿宋_GBK" w:cs="Times New Roman"/>
          <w:sz w:val="32"/>
          <w:szCs w:val="32"/>
        </w:rPr>
      </w:pPr>
    </w:p>
    <w:p w14:paraId="0B5421F8">
      <w:pPr>
        <w:spacing w:line="380" w:lineRule="exact"/>
        <w:jc w:val="right"/>
        <w:rPr>
          <w:rFonts w:ascii="Times New Roman" w:hAnsi="Times New Roman" w:eastAsia="方正仿宋_GBK" w:cs="Times New Roman"/>
          <w:sz w:val="32"/>
          <w:szCs w:val="32"/>
        </w:rPr>
      </w:pPr>
    </w:p>
    <w:p w14:paraId="783354EA">
      <w:pPr>
        <w:spacing w:line="4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644D809A">
      <w:pPr>
        <w:pStyle w:val="2"/>
        <w:numPr>
          <w:ilvl w:val="0"/>
          <w:numId w:val="0"/>
        </w:numPr>
        <w:spacing w:before="0" w:after="0" w:line="520" w:lineRule="exact"/>
        <w:ind w:left="432"/>
        <w:jc w:val="center"/>
        <w:rPr>
          <w:rFonts w:ascii="Times New Roman" w:hAnsi="Times New Roman" w:eastAsia="方正小标宋_GBK" w:cs="Times New Roman"/>
        </w:rPr>
      </w:pPr>
      <w:bookmarkStart w:id="0" w:name="_Toc287607744"/>
      <w:bookmarkStart w:id="1" w:name="_Toc481694468"/>
      <w:bookmarkStart w:id="2" w:name="_Toc484637073"/>
      <w:bookmarkStart w:id="3" w:name="_Toc531594734"/>
      <w:bookmarkStart w:id="4" w:name="_Toc224103315"/>
      <w:bookmarkStart w:id="5" w:name="_Toc30163"/>
      <w:r>
        <w:rPr>
          <w:rFonts w:ascii="Times New Roman" w:hAnsi="Times New Roman" w:eastAsia="方正小标宋_GBK" w:cs="Times New Roman"/>
        </w:rPr>
        <w:t>第二章 投标人</w:t>
      </w:r>
      <w:r>
        <w:rPr>
          <w:rFonts w:hint="eastAsia" w:ascii="Times New Roman" w:hAnsi="Times New Roman" w:eastAsia="方正小标宋_GBK" w:cs="Times New Roman"/>
        </w:rPr>
        <w:t>须</w:t>
      </w:r>
      <w:r>
        <w:rPr>
          <w:rFonts w:ascii="Times New Roman" w:hAnsi="Times New Roman" w:eastAsia="方正小标宋_GBK" w:cs="Times New Roman"/>
        </w:rPr>
        <w:t>知</w:t>
      </w:r>
      <w:bookmarkEnd w:id="0"/>
      <w:bookmarkEnd w:id="1"/>
      <w:bookmarkEnd w:id="2"/>
      <w:bookmarkEnd w:id="3"/>
      <w:bookmarkEnd w:id="4"/>
      <w:bookmarkEnd w:id="5"/>
    </w:p>
    <w:p w14:paraId="0C4B8DDB">
      <w:pPr>
        <w:rPr>
          <w:rFonts w:ascii="Times New Roman" w:hAnsi="Times New Roman" w:cs="Times New Roman"/>
        </w:rPr>
      </w:pPr>
    </w:p>
    <w:p w14:paraId="498DD257">
      <w:pPr>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（投标人</w:t>
      </w:r>
      <w:r>
        <w:rPr>
          <w:rFonts w:hint="eastAsia" w:ascii="Times New Roman" w:hAnsi="Times New Roman" w:eastAsia="方正仿宋_GBK" w:cs="Times New Roman"/>
          <w:sz w:val="32"/>
          <w:szCs w:val="32"/>
        </w:rPr>
        <w:t>须知</w:t>
      </w:r>
      <w:r>
        <w:rPr>
          <w:rFonts w:ascii="Times New Roman" w:hAnsi="Times New Roman" w:eastAsia="方正仿宋_GBK" w:cs="Times New Roman"/>
          <w:sz w:val="32"/>
          <w:szCs w:val="32"/>
        </w:rPr>
        <w:t>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566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0CB2DE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6DAC7F4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0D9CE0B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编  列  内  容</w:t>
            </w:r>
          </w:p>
        </w:tc>
      </w:tr>
      <w:tr w14:paraId="419F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248532D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24FCBAE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0E99E983">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重庆财经学院重庆财经学院教学服务器采购项目</w:t>
            </w:r>
          </w:p>
        </w:tc>
      </w:tr>
      <w:tr w14:paraId="3438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602ED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51F0C05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1C0FE78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单位名称：重庆财经学院</w:t>
            </w:r>
          </w:p>
          <w:p w14:paraId="2933088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地   址：重庆市巴南区龙洲湾尚文大道906号</w:t>
            </w:r>
          </w:p>
          <w:p w14:paraId="25DB09F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w:t>
            </w:r>
            <w:r>
              <w:rPr>
                <w:rFonts w:hint="eastAsia" w:ascii="Times New Roman" w:hAnsi="Times New Roman" w:eastAsia="方正仿宋_GBK" w:cs="Times New Roman"/>
                <w:sz w:val="28"/>
                <w:szCs w:val="28"/>
              </w:rPr>
              <w:t>朱</w:t>
            </w:r>
            <w:r>
              <w:rPr>
                <w:rFonts w:ascii="Times New Roman" w:hAnsi="Times New Roman" w:eastAsia="方正仿宋_GBK" w:cs="Times New Roman"/>
                <w:sz w:val="28"/>
                <w:szCs w:val="28"/>
              </w:rPr>
              <w:t xml:space="preserve">老师  </w:t>
            </w:r>
          </w:p>
          <w:p w14:paraId="5F1B4524">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电   话：88968</w:t>
            </w:r>
            <w:r>
              <w:rPr>
                <w:rFonts w:hint="eastAsia" w:ascii="Times New Roman" w:hAnsi="Times New Roman" w:eastAsia="方正仿宋_GBK" w:cs="Times New Roman"/>
                <w:sz w:val="28"/>
                <w:szCs w:val="28"/>
              </w:rPr>
              <w:t>736</w:t>
            </w:r>
          </w:p>
        </w:tc>
      </w:tr>
      <w:tr w14:paraId="684C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0758F7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690EEAC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7C51C70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招标人自筹</w:t>
            </w:r>
          </w:p>
        </w:tc>
      </w:tr>
      <w:tr w14:paraId="592E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834B36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78D3F55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767748BE">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详见招标文件第三章 </w:t>
            </w:r>
            <w:r>
              <w:rPr>
                <w:rFonts w:hint="eastAsia" w:ascii="Times New Roman" w:hAnsi="Times New Roman" w:eastAsia="方正仿宋_GBK" w:cs="Times New Roman"/>
                <w:sz w:val="28"/>
                <w:szCs w:val="28"/>
              </w:rPr>
              <w:t>招标数量及参数要求</w:t>
            </w:r>
          </w:p>
        </w:tc>
      </w:tr>
      <w:tr w14:paraId="0682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69206B8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1BCA063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交货</w:t>
            </w:r>
            <w:r>
              <w:rPr>
                <w:rFonts w:hint="eastAsia" w:ascii="Times New Roman" w:hAnsi="Times New Roman" w:eastAsia="方正仿宋_GBK" w:cs="Times New Roman"/>
                <w:sz w:val="28"/>
                <w:szCs w:val="28"/>
              </w:rPr>
              <w:t>地点</w:t>
            </w:r>
          </w:p>
          <w:p w14:paraId="305E371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3BEBD63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1.交货方式：重庆财经学院指定位置。</w:t>
            </w:r>
          </w:p>
          <w:p w14:paraId="19053D9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2.交货时间：</w:t>
            </w:r>
            <w:r>
              <w:rPr>
                <w:rFonts w:hint="eastAsia" w:ascii="Times New Roman" w:hAnsi="Times New Roman" w:eastAsia="方正仿宋_GBK" w:cs="Times New Roman"/>
                <w:sz w:val="28"/>
                <w:szCs w:val="28"/>
              </w:rPr>
              <w:t>合同签订后10日内完成全部设备供货、安装及调试，确保不晚于2026年7月</w:t>
            </w:r>
            <w:r>
              <w:rPr>
                <w:rFonts w:hint="eastAsia" w:ascii="Times New Roman" w:hAnsi="Times New Roman" w:eastAsia="方正仿宋_GBK" w:cs="Times New Roman"/>
                <w:color w:val="000000" w:themeColor="text1"/>
                <w:sz w:val="28"/>
                <w:szCs w:val="28"/>
                <w:lang w:val="en-US" w:eastAsia="zh-CN"/>
              </w:rPr>
              <w:t>20</w:t>
            </w:r>
            <w:r>
              <w:rPr>
                <w:rFonts w:hint="eastAsia" w:ascii="Times New Roman" w:hAnsi="Times New Roman" w:eastAsia="方正仿宋_GBK" w:cs="Times New Roman"/>
                <w:color w:val="000000" w:themeColor="text1"/>
                <w:sz w:val="28"/>
                <w:szCs w:val="28"/>
              </w:rPr>
              <w:t>日投入使用。</w:t>
            </w:r>
          </w:p>
        </w:tc>
      </w:tr>
      <w:tr w14:paraId="464D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65" w:type="dxa"/>
            <w:tcBorders>
              <w:top w:val="single" w:color="auto" w:sz="4" w:space="0"/>
              <w:left w:val="single" w:color="auto" w:sz="4" w:space="0"/>
              <w:bottom w:val="single" w:color="auto" w:sz="4" w:space="0"/>
              <w:right w:val="single" w:color="auto" w:sz="4" w:space="0"/>
            </w:tcBorders>
            <w:vAlign w:val="center"/>
          </w:tcPr>
          <w:p w14:paraId="55E6BD4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0FF95F2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1EE01FA6">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1.附件、图纸及包装要求：所有设备按照制造商规定的产品包装和随机标准附件为准。</w:t>
            </w:r>
          </w:p>
          <w:p w14:paraId="5B79127F">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‌技术文件提交‌：提供中文技术文件</w:t>
            </w:r>
            <w:r>
              <w:rPr>
                <w:rFonts w:hint="eastAsia" w:ascii="Times New Roman" w:hAnsi="Times New Roman" w:eastAsia="方正仿宋_GBK" w:cs="Times New Roman"/>
                <w:sz w:val="28"/>
                <w:szCs w:val="28"/>
              </w:rPr>
              <w:t>，包括但不限于</w:t>
            </w:r>
            <w:r>
              <w:rPr>
                <w:rFonts w:ascii="Times New Roman" w:hAnsi="Times New Roman" w:eastAsia="方正仿宋_GBK" w:cs="Times New Roman"/>
                <w:sz w:val="28"/>
                <w:szCs w:val="28"/>
              </w:rPr>
              <w:t>操作手册</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技术</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维护指南</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使用说明视频资料及电子版资料</w:t>
            </w:r>
            <w:r>
              <w:rPr>
                <w:rFonts w:hint="eastAsia" w:ascii="Times New Roman" w:hAnsi="Times New Roman" w:eastAsia="方正仿宋_GBK" w:cs="Times New Roman"/>
                <w:sz w:val="28"/>
                <w:szCs w:val="28"/>
              </w:rPr>
              <w:t>等</w:t>
            </w:r>
            <w:r>
              <w:rPr>
                <w:rFonts w:ascii="Times New Roman" w:hAnsi="Times New Roman" w:eastAsia="方正仿宋_GBK" w:cs="Times New Roman"/>
                <w:sz w:val="28"/>
                <w:szCs w:val="28"/>
              </w:rPr>
              <w:t>。</w:t>
            </w:r>
          </w:p>
          <w:p w14:paraId="216BABAC">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‌现场支持‌：包括设备安装、调试、启动监督及故障排除。</w:t>
            </w:r>
          </w:p>
          <w:p w14:paraId="4FA0708E">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w:t>
            </w:r>
            <w:r>
              <w:rPr>
                <w:rFonts w:ascii="Times New Roman" w:hAnsi="Times New Roman" w:eastAsia="方正仿宋_GBK" w:cs="Times New Roman"/>
                <w:sz w:val="28"/>
                <w:szCs w:val="28"/>
              </w:rPr>
              <w:t>‌培训服务‌：</w:t>
            </w:r>
            <w:r>
              <w:rPr>
                <w:rFonts w:hint="eastAsia" w:ascii="Times New Roman" w:hAnsi="Times New Roman" w:eastAsia="方正仿宋_GBK" w:cs="Times New Roman"/>
                <w:sz w:val="28"/>
                <w:szCs w:val="28"/>
              </w:rPr>
              <w:t>（1）</w:t>
            </w:r>
            <w:r>
              <w:rPr>
                <w:rFonts w:ascii="Times New Roman" w:hAnsi="Times New Roman" w:eastAsia="方正仿宋_GBK" w:cs="Times New Roman"/>
                <w:sz w:val="28"/>
                <w:szCs w:val="28"/>
              </w:rPr>
              <w:t>设备安装</w:t>
            </w:r>
            <w:r>
              <w:rPr>
                <w:rFonts w:hint="eastAsia" w:ascii="Times New Roman" w:hAnsi="Times New Roman" w:eastAsia="方正仿宋_GBK" w:cs="Times New Roman"/>
                <w:sz w:val="28"/>
                <w:szCs w:val="28"/>
              </w:rPr>
              <w:t>调试完毕</w:t>
            </w:r>
            <w:r>
              <w:rPr>
                <w:rFonts w:ascii="Times New Roman" w:hAnsi="Times New Roman" w:eastAsia="方正仿宋_GBK" w:cs="Times New Roman"/>
                <w:sz w:val="28"/>
                <w:szCs w:val="28"/>
              </w:rPr>
              <w:t>后对甲方操作人员</w:t>
            </w:r>
            <w:r>
              <w:rPr>
                <w:rFonts w:hint="eastAsia" w:ascii="Times New Roman" w:hAnsi="Times New Roman" w:eastAsia="方正仿宋_GBK" w:cs="Times New Roman"/>
                <w:sz w:val="28"/>
                <w:szCs w:val="28"/>
              </w:rPr>
              <w:t>提供免费</w:t>
            </w:r>
            <w:r>
              <w:rPr>
                <w:rFonts w:ascii="Times New Roman" w:hAnsi="Times New Roman" w:eastAsia="方正仿宋_GBK" w:cs="Times New Roman"/>
                <w:sz w:val="28"/>
                <w:szCs w:val="28"/>
              </w:rPr>
              <w:t>设备操作培训，涵盖安全规范、编程基础、故障排查</w:t>
            </w:r>
            <w:r>
              <w:rPr>
                <w:rFonts w:hint="eastAsia" w:ascii="Times New Roman" w:hAnsi="Times New Roman" w:eastAsia="方正仿宋_GBK" w:cs="Times New Roman"/>
                <w:sz w:val="28"/>
                <w:szCs w:val="28"/>
              </w:rPr>
              <w:t>等内容</w:t>
            </w:r>
            <w:r>
              <w:rPr>
                <w:rFonts w:ascii="Times New Roman" w:hAnsi="Times New Roman" w:eastAsia="方正仿宋_GBK" w:cs="Times New Roman"/>
                <w:sz w:val="28"/>
                <w:szCs w:val="28"/>
              </w:rPr>
              <w:t>。</w:t>
            </w:r>
          </w:p>
          <w:p w14:paraId="49C63BA8">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配合教学建设：配合课程组提供课程相关实验程序、教学案例库</w:t>
            </w:r>
            <w:r>
              <w:rPr>
                <w:rFonts w:hint="eastAsia" w:ascii="Times New Roman" w:hAnsi="Times New Roman" w:eastAsia="方正仿宋_GBK" w:cs="Times New Roman"/>
                <w:sz w:val="28"/>
                <w:szCs w:val="28"/>
              </w:rPr>
              <w:t>。</w:t>
            </w:r>
          </w:p>
          <w:p w14:paraId="5BA584A4">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w:t>
            </w:r>
            <w:r>
              <w:rPr>
                <w:rFonts w:ascii="Times New Roman" w:hAnsi="Times New Roman" w:eastAsia="方正仿宋_GBK" w:cs="Times New Roman"/>
                <w:sz w:val="28"/>
                <w:szCs w:val="28"/>
              </w:rPr>
              <w:t>‌专用工具与备件‌：提供安装、维修所需的专用工具及随机备品备件。</w:t>
            </w:r>
          </w:p>
        </w:tc>
      </w:tr>
      <w:tr w14:paraId="5FB3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0194A81">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554C070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53E87251">
            <w:pPr>
              <w:numPr>
                <w:ilvl w:val="0"/>
                <w:numId w:val="12"/>
              </w:num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本项目所采购的通用服务器、AI 算力服务器及配套硬件设备，应提供不少于 3 年免费整机质保服务，质保范围包括 CPU、内存、硬盘、RAID 卡、网卡、GPU 加速卡、电源、风扇、主板、远程管理模块、导轨及其他随机配件等。</w:t>
            </w:r>
          </w:p>
          <w:p w14:paraId="328B7F26">
            <w:pPr>
              <w:numPr>
                <w:ilvl w:val="0"/>
                <w:numId w:val="12"/>
              </w:num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质保期内，因设备本身质量问题或非人为因素造成的硬件故障，供应商应免费提供维修、更换、调试及相关技术支持服务，不得另行收取人工费、配件费、上门费等费用。</w:t>
            </w:r>
          </w:p>
          <w:p w14:paraId="0C96DB70">
            <w:pPr>
              <w:numPr>
                <w:ilvl w:val="0"/>
                <w:numId w:val="12"/>
              </w:num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AI 算力服务器涉及的 GPU 驱动、AI 计算环境、深度学习框架、容器环境等部署内容，应提供不少于 3 年的软件环境维护和技术支持服务，确保设备能够稳定支撑人工智能教学、科研计算、模型推理及模型微调等应用。</w:t>
            </w:r>
          </w:p>
          <w:p w14:paraId="4757D608">
            <w:pPr>
              <w:numPr>
                <w:ilvl w:val="0"/>
                <w:numId w:val="12"/>
              </w:num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质保期自项目最终验收合格之日起计算。</w:t>
            </w:r>
          </w:p>
        </w:tc>
      </w:tr>
      <w:tr w14:paraId="65E7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89DC4F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5799D70D">
            <w:pPr>
              <w:spacing w:line="4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参数</w:t>
            </w:r>
            <w:r>
              <w:rPr>
                <w:rFonts w:ascii="Times New Roman" w:hAnsi="Times New Roman" w:eastAsia="方正仿宋_GBK" w:cs="Times New Roman"/>
                <w:sz w:val="28"/>
                <w:szCs w:val="28"/>
              </w:rPr>
              <w:t>要求</w:t>
            </w:r>
          </w:p>
        </w:tc>
        <w:tc>
          <w:tcPr>
            <w:tcW w:w="6092" w:type="dxa"/>
            <w:tcBorders>
              <w:top w:val="single" w:color="auto" w:sz="4" w:space="0"/>
              <w:left w:val="single" w:color="auto" w:sz="4" w:space="0"/>
              <w:bottom w:val="single" w:color="auto" w:sz="4" w:space="0"/>
              <w:right w:val="single" w:color="auto" w:sz="4" w:space="0"/>
            </w:tcBorders>
            <w:vAlign w:val="center"/>
          </w:tcPr>
          <w:p w14:paraId="43DBE4DD">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详见第三章</w:t>
            </w:r>
          </w:p>
        </w:tc>
      </w:tr>
      <w:tr w14:paraId="113B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09FBC8E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1B55FA1E">
            <w:pPr>
              <w:widowControl/>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售后服务</w:t>
            </w:r>
          </w:p>
        </w:tc>
        <w:tc>
          <w:tcPr>
            <w:tcW w:w="6092" w:type="dxa"/>
            <w:tcBorders>
              <w:top w:val="single" w:color="auto" w:sz="4" w:space="0"/>
              <w:left w:val="single" w:color="auto" w:sz="4" w:space="0"/>
              <w:bottom w:val="single" w:color="auto" w:sz="4" w:space="0"/>
              <w:right w:val="single" w:color="auto" w:sz="4" w:space="0"/>
            </w:tcBorders>
            <w:vAlign w:val="center"/>
          </w:tcPr>
          <w:p w14:paraId="76875026">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1.质保期内</w:t>
            </w:r>
            <w:r>
              <w:rPr>
                <w:rFonts w:ascii="Times New Roman" w:hAnsi="Times New Roman" w:eastAsia="方正仿宋_GBK" w:cs="Times New Roman"/>
                <w:sz w:val="28"/>
                <w:szCs w:val="28"/>
              </w:rPr>
              <w:t>‌服务承诺‌</w:t>
            </w:r>
          </w:p>
          <w:p w14:paraId="6A12B0BC">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（1）供应商应提供不少于 3 年的免费售后服务，服务内容包括设备故障处理、系统运行维护、RAID 配置恢复、网络配置协助、远程管理配置、GPU 驱动维护、AI 框架环境维护及相关技术咨询等。</w:t>
            </w:r>
          </w:p>
          <w:p w14:paraId="54AC12F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（2）质保期内应提供 7×24 小时技术支持服务。接到采购人故障报修后，应在 2 小时内响应；一般故障应在 24 小时内处理完成；影响业务系统运行或 AI 算力服务使用的重大故障，应在 24 小时内到达现场，并在 48 小时内修复或提供可行的替代解决方案。</w:t>
            </w:r>
          </w:p>
          <w:p w14:paraId="2F4FA9B8">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（3）对于影响设备正常运行的关键硬件故障，如硬盘、电源、内存、网卡、RAID 卡、GPU 加速卡等，供应商应及时提供维修或更换服务，保障服务器持续稳定运行。</w:t>
            </w:r>
          </w:p>
          <w:p w14:paraId="1DCC93D8">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（4）供应商应负责完成设备安装上架、加电调试、系统初始化、RAID 配置、网络调试、远程管理配置、GPU 驱动安装、AI 计算环境部署、Docker/容器环境部署及 PyTorch、TensorFlow、PaddlePaddle 等主流 AI 框架配置。</w:t>
            </w:r>
          </w:p>
          <w:p w14:paraId="54FD1EB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（5）供应商应免费提供设备使用培训和基础运维培训，培训内容包括服务器开关机、远程管理、硬件状态查看、RAID 状态检查、故障告警查看、AI 环境使用、多 GPU 调用测试及常见问题处理等。</w:t>
            </w:r>
          </w:p>
          <w:p w14:paraId="50EE22F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（6）供应商应向采购人提供必要的技术资料，包括设备装箱清单、产品合格证明、硬件配置清单、质保服务承诺、系统账号信息、RAID 配置说明、AI 环境部署说明、测试报告及操作维护手册等。</w:t>
            </w:r>
          </w:p>
          <w:p w14:paraId="21A0248E">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质保期外服务要求</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质保期满后，供应商应继续提供技术支持服务，并按照不高于市场合理价格提供维修服务、备品备件及系统维护服务。</w:t>
            </w:r>
          </w:p>
        </w:tc>
      </w:tr>
      <w:tr w14:paraId="071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65" w:type="dxa"/>
            <w:tcBorders>
              <w:top w:val="single" w:color="auto" w:sz="4" w:space="0"/>
              <w:left w:val="single" w:color="auto" w:sz="4" w:space="0"/>
              <w:bottom w:val="single" w:color="auto" w:sz="4" w:space="0"/>
              <w:right w:val="single" w:color="auto" w:sz="4" w:space="0"/>
            </w:tcBorders>
            <w:vAlign w:val="center"/>
          </w:tcPr>
          <w:p w14:paraId="2ABB752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74898EC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项目验收</w:t>
            </w:r>
          </w:p>
        </w:tc>
        <w:tc>
          <w:tcPr>
            <w:tcW w:w="6092" w:type="dxa"/>
            <w:tcBorders>
              <w:top w:val="single" w:color="auto" w:sz="4" w:space="0"/>
              <w:left w:val="single" w:color="auto" w:sz="4" w:space="0"/>
              <w:bottom w:val="single" w:color="auto" w:sz="4" w:space="0"/>
              <w:right w:val="single" w:color="auto" w:sz="4" w:space="0"/>
            </w:tcBorders>
          </w:tcPr>
          <w:p w14:paraId="31E3B9C3">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1.货物到达现场后，中标人应在使用单位人员在场情况下当面开箱，共同清点、检查外观，作出开箱记录，双方签字确认。</w:t>
            </w:r>
          </w:p>
          <w:p w14:paraId="44ACEE1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2.中标人应保证货物到达采购人所在地完好无损，如有缺漏、损坏，由投标人负责调换、补齐或赔偿。</w:t>
            </w:r>
          </w:p>
          <w:p w14:paraId="32B37FD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3.中标人应提供完备的技术资料、装箱单和合格证等，并派遣专业技术人员进行现场安装调试。</w:t>
            </w:r>
            <w:r>
              <w:rPr>
                <w:rFonts w:hint="eastAsia" w:ascii="Times New Roman" w:hAnsi="Times New Roman" w:eastAsia="方正仿宋_GBK" w:cs="Times New Roman"/>
                <w:b/>
                <w:bCs/>
                <w:sz w:val="28"/>
                <w:szCs w:val="28"/>
              </w:rPr>
              <w:t>验收合格条件如下：</w:t>
            </w:r>
          </w:p>
          <w:p w14:paraId="0BAB4DC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（1）项目验收应按照国家现行相关标准、采购文件、投标文件、合同约定及采购人实际使用需求进行。</w:t>
            </w:r>
          </w:p>
          <w:p w14:paraId="57C12784">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（2）供应商完成全部设备供货、安装上架、系统初始化、RAID 配置、网络调试、远程管理配置、AI 计算环境部署和自检合格后，应向采购人提交验收申请及相关验收资料。</w:t>
            </w:r>
          </w:p>
          <w:p w14:paraId="1E9D7F16">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（3）采购人组织相关人员进行现场验收，验收内容包括设备数量、外观、硬件配置、技术参数、配件完整性、系统安装情况、网络连通情况、远程管理功能、RAID 配置状态、硬盘健康状态、电源冗余状态等。</w:t>
            </w:r>
          </w:p>
          <w:p w14:paraId="2008B24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（4）通用服务器应完成 CPU、内存、硬盘、RAID 卡、网卡、电源、风扇、远程管理模块等硬件识别和运行状态检查；系统盘应配置 RAID1，硬盘状态应无故障告警；网络连接和远程管理功能应正常可用。</w:t>
            </w:r>
          </w:p>
          <w:p w14:paraId="2C2096AA">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（5）AI 算力服务器应完成全部 GPU 加速卡识别测试，GPU 数量、单卡显存、整机显存总容量、驱动版本、计算框架调用情况应符合采购文件和合同要求；应支持多 GPU 调用，能够正常运行 AI 样例程序。</w:t>
            </w:r>
          </w:p>
          <w:p w14:paraId="31CD5BB0">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（6）AI 算力服务器应完成 GPU 驱动、AI 计算库、Docker/容器环境、PyTorch、TensorFlow、PaddlePaddle 或同类主流 AI 框架部署，并通过 GPU 单卡调用、多卡调用、样例程序运行等测试。</w:t>
            </w:r>
          </w:p>
          <w:p w14:paraId="4C2D856F">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（7）服务器应完成连续稳定性测试。通用服务器应完成不少于 24 小时连续运行测试；AI 算力服务器应完成不少于 24 小时 GPU 压力测试或多 GPU 负载测试。测试期间不得出现异常宕机、异常重启、硬件告警、GPU 掉卡、过热保护等影响正常使用的情况。</w:t>
            </w:r>
          </w:p>
          <w:p w14:paraId="1BE4A81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（8）验收资料应包括设备清单、硬件配置清单、安装调试记录、RAID 配置记录、网络配置记录、AI 环境部署记录、测试报告、培训记录、质保及售后服务承诺等。</w:t>
            </w:r>
          </w:p>
          <w:p w14:paraId="5A1550D4">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（9）验收合格后，由采购人和供应商共同签署验收报告，验收报告作为项目付款和质保期起算的重要依据。对验收中发现的问题，供应商应在采购人规定期限内完成整改，整改合格后方可通过最终验收</w:t>
            </w:r>
          </w:p>
          <w:p w14:paraId="66C66110">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sz w:val="28"/>
                <w:szCs w:val="28"/>
              </w:rPr>
              <w:t>4.投标人提供的货物未达到招标文件规定要求，且对采购人造成损失的，由投标人承担一切责</w:t>
            </w:r>
            <w:r>
              <w:rPr>
                <w:rFonts w:hint="eastAsia" w:ascii="Times New Roman" w:hAnsi="Times New Roman" w:eastAsia="方正仿宋_GBK" w:cs="Times New Roman"/>
                <w:color w:val="auto"/>
                <w:sz w:val="28"/>
                <w:szCs w:val="28"/>
              </w:rPr>
              <w:t>任，并赔偿所造成的损失。</w:t>
            </w:r>
          </w:p>
          <w:p w14:paraId="18F783E9">
            <w:pPr>
              <w:spacing w:line="400" w:lineRule="exact"/>
              <w:rPr>
                <w:rFonts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rPr>
              <w:t>5.产品包装材料归采购人所有。</w:t>
            </w:r>
          </w:p>
          <w:p w14:paraId="2F3EEB36">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color w:val="auto"/>
                <w:sz w:val="28"/>
                <w:szCs w:val="28"/>
                <w:lang w:val="en-US" w:eastAsia="zh-CN"/>
              </w:rPr>
              <w:t>6</w:t>
            </w:r>
            <w:r>
              <w:rPr>
                <w:rFonts w:hint="eastAsia" w:ascii="Times New Roman" w:hAnsi="Times New Roman" w:eastAsia="方正仿宋_GBK" w:cs="Times New Roman"/>
                <w:color w:val="auto"/>
                <w:sz w:val="28"/>
                <w:szCs w:val="28"/>
              </w:rPr>
              <w:t>.验收不合格需10日内整改完毕，并通过学校验收。</w:t>
            </w:r>
          </w:p>
        </w:tc>
      </w:tr>
      <w:tr w14:paraId="132A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A64DF7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2ADE42D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2BB6B45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本项目招标实行资格后审，投标人应具备以下资格条件：</w:t>
            </w:r>
          </w:p>
          <w:p w14:paraId="43ADF43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1．投标人具有独立承担民事责任的能力，需提供营业执照等证明文件；</w:t>
            </w:r>
          </w:p>
          <w:p w14:paraId="0B1F6A24">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2．投标人具有良好的商业信誉和健全的财务会计制度，需提供近三年的财务报表；</w:t>
            </w:r>
          </w:p>
          <w:p w14:paraId="3557010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3．投标人具有依法缴纳税收和社会保障资金的良好纪录；</w:t>
            </w:r>
          </w:p>
          <w:p w14:paraId="4668C709">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4．投标人具有履行合同所必需的专业技术能力；</w:t>
            </w:r>
          </w:p>
          <w:p w14:paraId="3ED9A67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5．投标人参加政府采购活动前三年内，没有骗取中标行为，无不正当理由放弃中标（成交）行为，未进行过恶意投诉，在经营活动中没有违法、违规记录；</w:t>
            </w:r>
          </w:p>
          <w:p w14:paraId="6D6C418A">
            <w:pPr>
              <w:spacing w:line="40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6．投标方符合国家现行有关服务器、计算机设备、信息技术设备安全、电磁兼容、网络安全、机房运行环境及节能环保等相关标准和规范要求，包括但不限于：</w:t>
            </w:r>
          </w:p>
          <w:p w14:paraId="7C588CBC">
            <w:pPr>
              <w:spacing w:line="40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（1）GB/T 9813.3-2017《计算机通用规范 第3部分：服务器》；</w:t>
            </w:r>
          </w:p>
          <w:p w14:paraId="106745F8">
            <w:pPr>
              <w:spacing w:line="40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（2）GB 4943.1-2022《音视频、信息技术和通信技术设备 第1部分：安全要求》；</w:t>
            </w:r>
          </w:p>
          <w:p w14:paraId="4A482002">
            <w:pPr>
              <w:spacing w:line="40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（3）GB/T 9254.1-2021《信息技术设备、多媒体设备和接收机 电磁兼容 第1部分：发射要求》；</w:t>
            </w:r>
          </w:p>
          <w:p w14:paraId="2EA5D9AD">
            <w:pPr>
              <w:spacing w:line="40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（4）GB/T 2887-2011《计算机场地通用规范》；</w:t>
            </w:r>
          </w:p>
          <w:p w14:paraId="37F23202">
            <w:pPr>
              <w:spacing w:line="40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（5）如涉及学校信息系统安全建设和运行管理，应符合 GB/T 22239-2019《信息安全技术 网络安全等级保护基本要求》等网络安全相关标准要求；</w:t>
            </w:r>
          </w:p>
          <w:p w14:paraId="7364440D">
            <w:pPr>
              <w:spacing w:line="400" w:lineRule="exact"/>
              <w:rPr>
                <w:rFonts w:ascii="Times New Roman" w:hAnsi="Times New Roman" w:eastAsia="方正仿宋_GBK" w:cs="Times New Roman"/>
                <w:color w:val="000000" w:themeColor="text1"/>
                <w:sz w:val="28"/>
                <w:szCs w:val="28"/>
              </w:rPr>
            </w:pPr>
            <w:r>
              <w:rPr>
                <w:rFonts w:hint="eastAsia" w:ascii="Times New Roman" w:hAnsi="Times New Roman" w:eastAsia="方正仿宋_GBK" w:cs="Times New Roman"/>
                <w:color w:val="000000" w:themeColor="text1"/>
                <w:sz w:val="28"/>
                <w:szCs w:val="28"/>
              </w:rPr>
              <w:t>（6）应符合国家关于节能、环保、绿色采购、产品质量、安全生产、运输安装及售后服务等方面的现行规定和规范要求。</w:t>
            </w:r>
          </w:p>
          <w:p w14:paraId="0403550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7.具有完善的质量保证和售后服务体系。</w:t>
            </w:r>
          </w:p>
        </w:tc>
      </w:tr>
      <w:tr w14:paraId="3B2C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51CC221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1F4476E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2092CF7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不接受。</w:t>
            </w:r>
          </w:p>
        </w:tc>
      </w:tr>
      <w:tr w14:paraId="5064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677DAA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7F0B41A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6DE39F54">
            <w:pPr>
              <w:tabs>
                <w:tab w:val="center" w:pos="4153"/>
                <w:tab w:val="right" w:pos="8306"/>
              </w:tabs>
              <w:snapToGrid w:val="0"/>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w:t>
            </w:r>
            <w:r>
              <w:rPr>
                <w:rFonts w:hint="eastAsia" w:ascii="Times New Roman" w:hAnsi="Times New Roman" w:eastAsia="方正仿宋_GBK" w:cs="Times New Roman"/>
                <w:sz w:val="28"/>
                <w:szCs w:val="28"/>
              </w:rPr>
              <w:t>朱老师（023-88968736）</w:t>
            </w:r>
          </w:p>
        </w:tc>
      </w:tr>
      <w:tr w14:paraId="2F9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3AE2F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3B22593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2FC4E533">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不召开</w:t>
            </w:r>
          </w:p>
        </w:tc>
      </w:tr>
      <w:tr w14:paraId="66E8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0359A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39935CB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是否允许</w:t>
            </w:r>
          </w:p>
          <w:p w14:paraId="6557EA4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78C2DEC2">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否</w:t>
            </w:r>
          </w:p>
        </w:tc>
      </w:tr>
      <w:tr w14:paraId="6FD9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7E249E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2.1</w:t>
            </w:r>
          </w:p>
        </w:tc>
        <w:tc>
          <w:tcPr>
            <w:tcW w:w="1515" w:type="dxa"/>
            <w:tcBorders>
              <w:top w:val="single" w:color="auto" w:sz="4" w:space="0"/>
              <w:left w:val="single" w:color="auto" w:sz="4" w:space="0"/>
              <w:bottom w:val="single" w:color="auto" w:sz="4" w:space="0"/>
              <w:right w:val="single" w:color="auto" w:sz="4" w:space="0"/>
            </w:tcBorders>
            <w:vAlign w:val="center"/>
          </w:tcPr>
          <w:p w14:paraId="0F39864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2CE1DC9D">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招标文件</w:t>
            </w:r>
            <w:r>
              <w:rPr>
                <w:rFonts w:hint="eastAsia" w:ascii="Times New Roman" w:hAnsi="Times New Roman" w:eastAsia="方正仿宋_GBK" w:cs="Times New Roman"/>
                <w:sz w:val="28"/>
                <w:szCs w:val="28"/>
              </w:rPr>
              <w:t>需修改或根据投标人提出的问题进行修改、澄清或答疑，招标人将在网上发出补遗通知，请投标人自行查阅和下载。</w:t>
            </w:r>
          </w:p>
        </w:tc>
      </w:tr>
      <w:tr w14:paraId="6074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D616AD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1D4BA4C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79FD1977">
            <w:pPr>
              <w:spacing w:line="38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sz w:val="28"/>
                <w:szCs w:val="28"/>
              </w:rPr>
              <w:t>。</w:t>
            </w:r>
          </w:p>
          <w:p w14:paraId="08E4D382">
            <w:pPr>
              <w:spacing w:line="38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2.提出</w:t>
            </w:r>
            <w:r>
              <w:rPr>
                <w:rFonts w:hint="eastAsia" w:ascii="Times New Roman" w:hAnsi="Times New Roman" w:eastAsia="方正仿宋_GBK" w:cs="Times New Roman"/>
                <w:sz w:val="28"/>
                <w:szCs w:val="28"/>
              </w:rPr>
              <w:t>疑问的时间</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2026年6月</w:t>
            </w:r>
            <w:r>
              <w:rPr>
                <w:rFonts w:hint="eastAsia" w:ascii="Times New Roman" w:hAnsi="Times New Roman" w:eastAsia="方正仿宋_GBK" w:cs="Times New Roman"/>
                <w:sz w:val="28"/>
                <w:szCs w:val="28"/>
                <w:lang w:val="en-US" w:eastAsia="zh-CN"/>
              </w:rPr>
              <w:t>27</w:t>
            </w:r>
            <w:r>
              <w:rPr>
                <w:rFonts w:hint="eastAsia" w:ascii="Times New Roman" w:hAnsi="Times New Roman" w:eastAsia="方正仿宋_GBK" w:cs="Times New Roman"/>
                <w:sz w:val="28"/>
                <w:szCs w:val="28"/>
              </w:rPr>
              <w:t>日</w:t>
            </w:r>
          </w:p>
        </w:tc>
      </w:tr>
      <w:tr w14:paraId="23DC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80F1B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2.3</w:t>
            </w:r>
          </w:p>
        </w:tc>
        <w:tc>
          <w:tcPr>
            <w:tcW w:w="1515" w:type="dxa"/>
            <w:tcBorders>
              <w:top w:val="single" w:color="auto" w:sz="4" w:space="0"/>
              <w:left w:val="single" w:color="auto" w:sz="4" w:space="0"/>
              <w:bottom w:val="single" w:color="auto" w:sz="4" w:space="0"/>
              <w:right w:val="single" w:color="auto" w:sz="4" w:space="0"/>
            </w:tcBorders>
            <w:vAlign w:val="center"/>
          </w:tcPr>
          <w:p w14:paraId="07C57B0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6B91287D">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1.招标人对已发出的招标文件需要进行澄清、修改或对疑问作答的，将在重庆财经学院校园网（http://www.cfec.edu.cn）”上发布。</w:t>
            </w:r>
          </w:p>
          <w:p w14:paraId="160A3CE6">
            <w:pPr>
              <w:spacing w:line="38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2.答疑发布时间：收到书面质疑后7个工作日内。</w:t>
            </w:r>
          </w:p>
          <w:p w14:paraId="54289A1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41D0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DF5154D">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w:t>
            </w:r>
          </w:p>
        </w:tc>
        <w:tc>
          <w:tcPr>
            <w:tcW w:w="1515" w:type="dxa"/>
            <w:tcBorders>
              <w:top w:val="single" w:color="auto" w:sz="4" w:space="0"/>
              <w:left w:val="single" w:color="auto" w:sz="4" w:space="0"/>
              <w:bottom w:val="single" w:color="auto" w:sz="4" w:space="0"/>
              <w:right w:val="single" w:color="auto" w:sz="4" w:space="0"/>
            </w:tcBorders>
            <w:vAlign w:val="center"/>
          </w:tcPr>
          <w:p w14:paraId="6E3F19B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05CA6D4E">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投标文件的组成和内容必须实质性响应招标文件的要求，否则将被拒绝。</w:t>
            </w:r>
          </w:p>
        </w:tc>
      </w:tr>
      <w:tr w14:paraId="6A7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555EFE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2CE0AEC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429D136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1.投标文件计量单位：采用国家法定计量单位（标准）；</w:t>
            </w:r>
          </w:p>
          <w:p w14:paraId="1EFE48D6">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2.投标文件的组成必须统一格式（见招标文件第五章内容）</w:t>
            </w:r>
          </w:p>
          <w:p w14:paraId="1C3CFB3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3.投标人的书面澄清、说明和补正（但不得改变投标文件的实质性内容）。</w:t>
            </w:r>
          </w:p>
        </w:tc>
      </w:tr>
      <w:tr w14:paraId="69AD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F047F6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0A98339D">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0C00D36C">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 投标人的投标报价应是本章投标人须知前附表1.3.1项中所述的全部内容的投标报价，如果有任何遗漏，均被视为投标人已经在其投标总价中考虑。</w:t>
            </w:r>
          </w:p>
          <w:p w14:paraId="445BBC39">
            <w:pPr>
              <w:spacing w:line="400" w:lineRule="exact"/>
              <w:rPr>
                <w:rFonts w:ascii="Times New Roman" w:hAnsi="Times New Roman" w:eastAsia="方正仿宋_GBK" w:cs="Times New Roman"/>
                <w:sz w:val="28"/>
                <w:szCs w:val="28"/>
                <w:highlight w:val="yellow"/>
              </w:rPr>
            </w:pPr>
            <w:r>
              <w:rPr>
                <w:rFonts w:hint="eastAsia" w:ascii="Times New Roman" w:hAnsi="Times New Roman" w:eastAsia="方正仿宋_GBK" w:cs="Times New Roman"/>
                <w:sz w:val="28"/>
                <w:szCs w:val="28"/>
              </w:rPr>
              <w:t>投标报价须为人民币报价，包括完成本项目所确定的全部工作内容的包干价。包含：产品货款、运输装卸搬运费、安装调试费、线路改造、质保期内免费服务、耗材费、加班费、劳动保险费、劳保用品、易耗工具、机械使用费、服务地点内垃圾清运、安全措施费、管理费、政策性文件规定及合同包含的所有风险费、利润、税金等履行完本项目的所有费。</w:t>
            </w:r>
          </w:p>
        </w:tc>
      </w:tr>
      <w:tr w14:paraId="1577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A8EC2F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61D9EAC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0010897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90日历天（从递交投标文件截止日起计算）</w:t>
            </w:r>
          </w:p>
        </w:tc>
      </w:tr>
      <w:tr w14:paraId="1330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A1B0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2FCC0CC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4A29DA8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见招标公告</w:t>
            </w:r>
          </w:p>
        </w:tc>
      </w:tr>
      <w:tr w14:paraId="07E2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B0683D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03FCE77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184771B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本须知前附表1.4.1条要求的相关资料复印件（需要加盖公章）即为审查内容；</w:t>
            </w:r>
          </w:p>
        </w:tc>
      </w:tr>
      <w:tr w14:paraId="701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2CE17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8D13C0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3DF80D04">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不允许</w:t>
            </w:r>
          </w:p>
        </w:tc>
      </w:tr>
      <w:tr w14:paraId="7DAA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9DE112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0743D82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50C86713">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1.投标文件格式上要求签字盖章的地方，必须签字盖章；</w:t>
            </w:r>
          </w:p>
          <w:p w14:paraId="3327170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2.所有涉及投标报价、承诺、保证等内容必须签字盖章。</w:t>
            </w:r>
          </w:p>
        </w:tc>
      </w:tr>
      <w:tr w14:paraId="61E1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280F2E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27F30E2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3272317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正本1份、副本2份</w:t>
            </w:r>
          </w:p>
        </w:tc>
      </w:tr>
      <w:tr w14:paraId="685B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FF88A6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4CE248B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200C7045">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1.投标函</w:t>
            </w:r>
          </w:p>
          <w:p w14:paraId="183BCE1A">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2.法定代表人身份证明及授权委托书</w:t>
            </w:r>
          </w:p>
          <w:p w14:paraId="495E766A">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3.投标人基本情况表</w:t>
            </w:r>
          </w:p>
          <w:p w14:paraId="47F19879">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4.</w:t>
            </w:r>
            <w:r>
              <w:rPr>
                <w:rFonts w:hint="eastAsia" w:ascii="Times New Roman" w:hAnsi="Times New Roman" w:eastAsia="方正仿宋_GBK" w:cs="Times New Roman"/>
                <w:sz w:val="28"/>
                <w:szCs w:val="28"/>
              </w:rPr>
              <w:t>响应文件</w:t>
            </w:r>
          </w:p>
          <w:p w14:paraId="1A733D3D">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5.相关资质证明及承诺</w:t>
            </w:r>
          </w:p>
          <w:p w14:paraId="52011A7C">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6.售后服务</w:t>
            </w:r>
          </w:p>
          <w:p w14:paraId="0F61F246">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7.投标业绩一览表</w:t>
            </w:r>
          </w:p>
          <w:p w14:paraId="3B981822">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8.近</w:t>
            </w:r>
            <w:r>
              <w:rPr>
                <w:rFonts w:hint="eastAsia" w:ascii="Times New Roman" w:hAnsi="Times New Roman" w:eastAsia="方正仿宋_GBK" w:cs="Times New Roman"/>
                <w:sz w:val="28"/>
                <w:szCs w:val="28"/>
              </w:rPr>
              <w:t>三</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年度</w:t>
            </w:r>
            <w:r>
              <w:rPr>
                <w:rFonts w:ascii="Times New Roman" w:hAnsi="Times New Roman" w:eastAsia="方正仿宋_GBK" w:cs="Times New Roman"/>
                <w:sz w:val="28"/>
                <w:szCs w:val="28"/>
              </w:rPr>
              <w:t>财务报表（包括资产负债表、利润表和现金流量表）</w:t>
            </w:r>
          </w:p>
          <w:p w14:paraId="53C253DE">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9.</w:t>
            </w:r>
            <w:r>
              <w:rPr>
                <w:rFonts w:ascii="Times New Roman" w:hAnsi="Times New Roman" w:eastAsia="方正仿宋_GBK" w:cs="Times New Roman"/>
                <w:sz w:val="28"/>
                <w:szCs w:val="28"/>
              </w:rPr>
              <w:t>近</w:t>
            </w:r>
            <w:r>
              <w:rPr>
                <w:rFonts w:hint="eastAsia" w:ascii="Times New Roman" w:hAnsi="Times New Roman" w:eastAsia="方正仿宋_GBK" w:cs="Times New Roman"/>
                <w:sz w:val="28"/>
                <w:szCs w:val="28"/>
              </w:rPr>
              <w:t>三</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年度纳税、社保证明</w:t>
            </w:r>
          </w:p>
          <w:p w14:paraId="33B89B36">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10.</w:t>
            </w:r>
            <w:r>
              <w:rPr>
                <w:rFonts w:ascii="Times New Roman" w:hAnsi="Times New Roman" w:eastAsia="方正仿宋_GBK" w:cs="Times New Roman"/>
                <w:sz w:val="28"/>
                <w:szCs w:val="28"/>
              </w:rPr>
              <w:t>近</w:t>
            </w:r>
            <w:r>
              <w:rPr>
                <w:rFonts w:hint="eastAsia" w:ascii="Times New Roman" w:hAnsi="Times New Roman" w:eastAsia="方正仿宋_GBK" w:cs="Times New Roman"/>
                <w:sz w:val="28"/>
                <w:szCs w:val="28"/>
              </w:rPr>
              <w:t>三</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官网诚信证明截图</w:t>
            </w:r>
          </w:p>
          <w:p w14:paraId="54E2ACBD">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11</w:t>
            </w:r>
            <w:r>
              <w:rPr>
                <w:rFonts w:ascii="Times New Roman" w:hAnsi="Times New Roman" w:eastAsia="方正仿宋_GBK" w:cs="Times New Roman"/>
                <w:sz w:val="28"/>
                <w:szCs w:val="28"/>
              </w:rPr>
              <w:t>.承诺函</w:t>
            </w:r>
          </w:p>
          <w:p w14:paraId="1709A714">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12.投标文件PDF格式的电子档U盘一份</w:t>
            </w:r>
          </w:p>
        </w:tc>
      </w:tr>
      <w:tr w14:paraId="6690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6167D7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77D7923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2412633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1.使用投标文件袋</w:t>
            </w:r>
          </w:p>
          <w:p w14:paraId="7073FC4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2.密封并在投标文件袋处加盖投标人单位章，同时投标文件大袋应按本表第4.1.2项的规定写明相应内容。</w:t>
            </w:r>
          </w:p>
          <w:p w14:paraId="2CA239D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3.如果投标文件大袋未按上述规定封装，招标人拒绝接收。</w:t>
            </w:r>
          </w:p>
        </w:tc>
      </w:tr>
      <w:tr w14:paraId="45B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6EA6E81">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7A9E41E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2453ECA1">
            <w:pPr>
              <w:spacing w:line="400" w:lineRule="exact"/>
              <w:rPr>
                <w:rFonts w:ascii="Times New Roman" w:hAnsi="Times New Roman" w:eastAsia="方正仿宋_GBK" w:cs="Times New Roman"/>
                <w:b/>
                <w:sz w:val="28"/>
                <w:szCs w:val="28"/>
              </w:rPr>
            </w:pPr>
            <w:r>
              <w:rPr>
                <w:rFonts w:ascii="Times New Roman" w:hAnsi="Times New Roman" w:eastAsia="方正仿宋_GBK" w:cs="Times New Roman"/>
                <w:sz w:val="28"/>
                <w:szCs w:val="28"/>
              </w:rPr>
              <w:t>项目名称：</w:t>
            </w:r>
            <w:r>
              <w:rPr>
                <w:rFonts w:hint="eastAsia" w:ascii="Times New Roman" w:hAnsi="Times New Roman" w:eastAsia="方正仿宋_GBK" w:cs="Times New Roman"/>
                <w:sz w:val="28"/>
                <w:szCs w:val="28"/>
              </w:rPr>
              <w:t>重庆财经学院教学服务器采购项目</w:t>
            </w:r>
          </w:p>
          <w:p w14:paraId="42A9939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投标人名称：</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（投标人盖章）</w:t>
            </w:r>
          </w:p>
          <w:p w14:paraId="7E8EC23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投标文件 在开标前不得开启 </w:t>
            </w:r>
          </w:p>
        </w:tc>
      </w:tr>
      <w:tr w14:paraId="29DE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76DA0D3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263A79E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2C649613">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见招标公告</w:t>
            </w:r>
          </w:p>
        </w:tc>
      </w:tr>
      <w:tr w14:paraId="582F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57795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3BD70FF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448C5F4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见投标时间截止公告</w:t>
            </w:r>
          </w:p>
        </w:tc>
      </w:tr>
      <w:tr w14:paraId="21F4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2AC1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12A0463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29B1B83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否</w:t>
            </w:r>
          </w:p>
        </w:tc>
      </w:tr>
      <w:tr w14:paraId="5086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EBAA4C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5</w:t>
            </w:r>
          </w:p>
        </w:tc>
        <w:tc>
          <w:tcPr>
            <w:tcW w:w="1515" w:type="dxa"/>
            <w:tcBorders>
              <w:top w:val="single" w:color="auto" w:sz="4" w:space="0"/>
              <w:left w:val="single" w:color="auto" w:sz="4" w:space="0"/>
              <w:bottom w:val="single" w:color="auto" w:sz="4" w:space="0"/>
              <w:right w:val="single" w:color="auto" w:sz="4" w:space="0"/>
            </w:tcBorders>
            <w:vAlign w:val="center"/>
          </w:tcPr>
          <w:p w14:paraId="69503C4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4626909E">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开标会由重庆财经学院招</w:t>
            </w:r>
            <w:r>
              <w:rPr>
                <w:rFonts w:hint="eastAsia" w:ascii="Times New Roman" w:hAnsi="Times New Roman" w:eastAsia="方正仿宋_GBK" w:cs="Times New Roman"/>
                <w:sz w:val="28"/>
                <w:szCs w:val="28"/>
              </w:rPr>
              <w:t>采</w:t>
            </w:r>
            <w:r>
              <w:rPr>
                <w:rFonts w:ascii="Times New Roman" w:hAnsi="Times New Roman" w:eastAsia="方正仿宋_GBK" w:cs="Times New Roman"/>
                <w:sz w:val="28"/>
                <w:szCs w:val="28"/>
              </w:rPr>
              <w:t>办公室主持</w:t>
            </w:r>
          </w:p>
        </w:tc>
      </w:tr>
      <w:tr w14:paraId="5030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AB11E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5.1</w:t>
            </w:r>
          </w:p>
        </w:tc>
        <w:tc>
          <w:tcPr>
            <w:tcW w:w="1515" w:type="dxa"/>
            <w:tcBorders>
              <w:top w:val="single" w:color="auto" w:sz="4" w:space="0"/>
              <w:left w:val="single" w:color="auto" w:sz="4" w:space="0"/>
              <w:bottom w:val="single" w:color="auto" w:sz="4" w:space="0"/>
              <w:right w:val="single" w:color="auto" w:sz="4" w:space="0"/>
            </w:tcBorders>
            <w:vAlign w:val="center"/>
          </w:tcPr>
          <w:p w14:paraId="57DB70A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187CF84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开标时间：开标时间另行通知。</w:t>
            </w:r>
          </w:p>
          <w:p w14:paraId="0D4CA3B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开标地点：重庆财经学院</w:t>
            </w:r>
          </w:p>
        </w:tc>
      </w:tr>
      <w:tr w14:paraId="4C57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F0021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6</w:t>
            </w:r>
          </w:p>
        </w:tc>
        <w:tc>
          <w:tcPr>
            <w:tcW w:w="1515" w:type="dxa"/>
            <w:tcBorders>
              <w:top w:val="single" w:color="auto" w:sz="4" w:space="0"/>
              <w:left w:val="single" w:color="auto" w:sz="4" w:space="0"/>
              <w:bottom w:val="single" w:color="auto" w:sz="4" w:space="0"/>
              <w:right w:val="single" w:color="auto" w:sz="4" w:space="0"/>
            </w:tcBorders>
            <w:vAlign w:val="center"/>
          </w:tcPr>
          <w:p w14:paraId="088E190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4E63238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本项目评标委员会按照本次招标文件要求进行评标</w:t>
            </w:r>
          </w:p>
        </w:tc>
      </w:tr>
      <w:tr w14:paraId="7452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0AEFC3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6.1</w:t>
            </w:r>
          </w:p>
        </w:tc>
        <w:tc>
          <w:tcPr>
            <w:tcW w:w="1515" w:type="dxa"/>
            <w:tcBorders>
              <w:top w:val="single" w:color="auto" w:sz="4" w:space="0"/>
              <w:left w:val="single" w:color="auto" w:sz="4" w:space="0"/>
              <w:bottom w:val="single" w:color="auto" w:sz="4" w:space="0"/>
              <w:right w:val="single" w:color="auto" w:sz="4" w:space="0"/>
            </w:tcBorders>
            <w:vAlign w:val="center"/>
          </w:tcPr>
          <w:p w14:paraId="640EA13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204AE57D">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由招标人根据重庆财经学院</w:t>
            </w:r>
            <w:r>
              <w:rPr>
                <w:rFonts w:hint="eastAsia" w:ascii="Times New Roman" w:hAnsi="Times New Roman" w:eastAsia="方正仿宋_GBK" w:cs="Times New Roman"/>
                <w:sz w:val="28"/>
                <w:szCs w:val="28"/>
              </w:rPr>
              <w:t>招采</w:t>
            </w:r>
            <w:r>
              <w:rPr>
                <w:rFonts w:ascii="Times New Roman" w:hAnsi="Times New Roman" w:eastAsia="方正仿宋_GBK" w:cs="Times New Roman"/>
                <w:sz w:val="28"/>
                <w:szCs w:val="28"/>
              </w:rPr>
              <w:t>管理办法组建</w:t>
            </w:r>
          </w:p>
        </w:tc>
      </w:tr>
      <w:tr w14:paraId="64E5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519879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7.1</w:t>
            </w:r>
          </w:p>
        </w:tc>
        <w:tc>
          <w:tcPr>
            <w:tcW w:w="1515" w:type="dxa"/>
            <w:tcBorders>
              <w:top w:val="single" w:color="auto" w:sz="4" w:space="0"/>
              <w:left w:val="single" w:color="auto" w:sz="4" w:space="0"/>
              <w:bottom w:val="single" w:color="auto" w:sz="4" w:space="0"/>
              <w:right w:val="single" w:color="auto" w:sz="4" w:space="0"/>
            </w:tcBorders>
            <w:vAlign w:val="center"/>
          </w:tcPr>
          <w:p w14:paraId="5F74194D">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03FB909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否，评标委员会按照由高到低的顺序依次推荐1～3名为中标候选人。</w:t>
            </w:r>
          </w:p>
        </w:tc>
      </w:tr>
      <w:tr w14:paraId="4E4C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ED9178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8.1</w:t>
            </w:r>
          </w:p>
        </w:tc>
        <w:tc>
          <w:tcPr>
            <w:tcW w:w="1515" w:type="dxa"/>
            <w:tcBorders>
              <w:top w:val="single" w:color="auto" w:sz="4" w:space="0"/>
              <w:left w:val="single" w:color="auto" w:sz="4" w:space="0"/>
              <w:bottom w:val="single" w:color="auto" w:sz="4" w:space="0"/>
              <w:right w:val="single" w:color="auto" w:sz="4" w:space="0"/>
            </w:tcBorders>
            <w:vAlign w:val="center"/>
          </w:tcPr>
          <w:p w14:paraId="496867F0">
            <w:pPr>
              <w:spacing w:line="4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重新招标和不再招标</w:t>
            </w:r>
          </w:p>
        </w:tc>
        <w:tc>
          <w:tcPr>
            <w:tcW w:w="6092" w:type="dxa"/>
            <w:tcBorders>
              <w:top w:val="single" w:color="auto" w:sz="4" w:space="0"/>
              <w:left w:val="single" w:color="auto" w:sz="4" w:space="0"/>
              <w:bottom w:val="single" w:color="auto" w:sz="4" w:space="0"/>
              <w:right w:val="single" w:color="auto" w:sz="4" w:space="0"/>
            </w:tcBorders>
            <w:vAlign w:val="center"/>
          </w:tcPr>
          <w:p w14:paraId="3E49C500">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b/>
                <w:bCs/>
                <w:sz w:val="28"/>
                <w:szCs w:val="28"/>
              </w:rPr>
              <w:t>重新招标：</w:t>
            </w:r>
            <w:r>
              <w:rPr>
                <w:rFonts w:hint="eastAsia" w:ascii="Times New Roman" w:hAnsi="Times New Roman" w:eastAsia="方正仿宋_GBK" w:cs="Times New Roman"/>
                <w:sz w:val="28"/>
                <w:szCs w:val="28"/>
              </w:rPr>
              <w:t>（1）投标截止时间止，投标人少于三个的；（2）评标后合格的投标人少于三个的。</w:t>
            </w:r>
          </w:p>
          <w:p w14:paraId="6C88D344">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b/>
                <w:bCs/>
                <w:sz w:val="28"/>
                <w:szCs w:val="28"/>
              </w:rPr>
              <w:t>不再招标：</w:t>
            </w:r>
            <w:r>
              <w:rPr>
                <w:rFonts w:hint="eastAsia" w:ascii="Times New Roman" w:hAnsi="Times New Roman" w:eastAsia="方正仿宋_GBK" w:cs="Times New Roman"/>
                <w:sz w:val="28"/>
                <w:szCs w:val="28"/>
              </w:rPr>
              <w:t>若调整采购需求重新招标仍然失败的，可以采用竞争性谈判或单一来源的方式执行本项目</w:t>
            </w:r>
          </w:p>
        </w:tc>
      </w:tr>
      <w:tr w14:paraId="73C0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242671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7879CD25">
            <w:pPr>
              <w:adjustRightInd w:val="0"/>
              <w:spacing w:line="400" w:lineRule="exact"/>
              <w:ind w:left="480"/>
              <w:jc w:val="center"/>
              <w:rPr>
                <w:rFonts w:ascii="Times New Roman" w:hAnsi="Times New Roman" w:eastAsia="方正仿宋_GBK" w:cs="Times New Roman"/>
                <w:b/>
                <w:sz w:val="28"/>
                <w:szCs w:val="28"/>
              </w:rPr>
            </w:pPr>
            <w:r>
              <w:rPr>
                <w:rFonts w:ascii="Times New Roman" w:hAnsi="Times New Roman" w:eastAsia="方正仿宋_GBK" w:cs="Times New Roman"/>
                <w:sz w:val="28"/>
                <w:szCs w:val="28"/>
              </w:rPr>
              <w:t>补充内容</w:t>
            </w:r>
          </w:p>
        </w:tc>
      </w:tr>
      <w:tr w14:paraId="2807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88A7F2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43D8AEE">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1.投标人收到中标通知书3天后，投标保证金自动转为履约保证金，履约保证金按不超过合同金额的10%收取，多退少补（无息）。</w:t>
            </w:r>
          </w:p>
        </w:tc>
      </w:tr>
      <w:tr w14:paraId="1E6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D2C93F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235A0F5">
            <w:pPr>
              <w:spacing w:line="400" w:lineRule="exact"/>
              <w:jc w:val="left"/>
              <w:rPr>
                <w:rFonts w:ascii="Times New Roman" w:hAnsi="Times New Roman" w:eastAsia="方正仿宋_GBK" w:cs="Times New Roman"/>
                <w:b/>
                <w:sz w:val="28"/>
                <w:szCs w:val="28"/>
              </w:rPr>
            </w:pPr>
            <w:r>
              <w:rPr>
                <w:rFonts w:ascii="Times New Roman" w:hAnsi="Times New Roman" w:eastAsia="方正仿宋_GBK" w:cs="Times New Roman"/>
                <w:sz w:val="28"/>
                <w:szCs w:val="28"/>
              </w:rPr>
              <w:t>本项目从签订合同起，中标方应按照招标方的要求将所提供的设备安装到指定地点</w:t>
            </w:r>
            <w:r>
              <w:rPr>
                <w:rFonts w:hint="eastAsia" w:ascii="Times New Roman" w:hAnsi="Times New Roman" w:eastAsia="方正仿宋_GBK" w:cs="Times New Roman"/>
                <w:sz w:val="28"/>
                <w:szCs w:val="28"/>
              </w:rPr>
              <w:t>，并完成调试工作</w:t>
            </w:r>
            <w:r>
              <w:rPr>
                <w:rFonts w:ascii="Times New Roman" w:hAnsi="Times New Roman" w:eastAsia="方正仿宋_GBK" w:cs="Times New Roman"/>
                <w:sz w:val="28"/>
                <w:szCs w:val="28"/>
              </w:rPr>
              <w:t>。若规定时间内中标方未能完成本项目，招标人有权不退还履约保证金并追究中标方的责任。</w:t>
            </w:r>
          </w:p>
        </w:tc>
      </w:tr>
      <w:tr w14:paraId="3A41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495930B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CA42F3F">
            <w:pPr>
              <w:adjustRightInd w:val="0"/>
              <w:spacing w:line="400" w:lineRule="exact"/>
              <w:jc w:val="left"/>
              <w:textAlignment w:val="baseline"/>
              <w:rPr>
                <w:rFonts w:ascii="Times New Roman" w:hAnsi="Times New Roman" w:eastAsia="方正仿宋_GBK" w:cs="Times New Roman"/>
                <w:bCs/>
                <w:sz w:val="28"/>
                <w:szCs w:val="28"/>
              </w:rPr>
            </w:pPr>
            <w:r>
              <w:rPr>
                <w:rFonts w:hint="eastAsia" w:ascii="Times New Roman" w:hAnsi="Times New Roman" w:eastAsia="方正仿宋_GBK" w:cs="Times New Roman"/>
                <w:b/>
                <w:sz w:val="28"/>
                <w:szCs w:val="28"/>
              </w:rPr>
              <w:t>付款条件：</w:t>
            </w:r>
            <w:r>
              <w:rPr>
                <w:rFonts w:hint="eastAsia" w:ascii="Times New Roman" w:hAnsi="Times New Roman" w:eastAsia="方正仿宋_GBK" w:cs="Times New Roman"/>
                <w:bCs/>
                <w:sz w:val="28"/>
                <w:szCs w:val="28"/>
              </w:rPr>
              <w:t>按合同要求所有设备安装、调试完成，进行项目验收，验收合格后，根据付款方式规定的时间节点履行完验收手续后，在支付第一笔合同款时，甲方通知乙方开具全额正规税务发票并同时提供汇款单位名称、帐号、开户行等。</w:t>
            </w:r>
          </w:p>
          <w:p w14:paraId="53DBDFD8">
            <w:pPr>
              <w:adjustRightInd w:val="0"/>
              <w:spacing w:line="400" w:lineRule="exact"/>
              <w:jc w:val="left"/>
              <w:textAlignment w:val="baseline"/>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付款方式（最终以合同为准）</w:t>
            </w:r>
            <w:r>
              <w:rPr>
                <w:rFonts w:ascii="Times New Roman" w:hAnsi="Times New Roman" w:eastAsia="方正仿宋_GBK" w:cs="Times New Roman"/>
                <w:b/>
                <w:sz w:val="28"/>
                <w:szCs w:val="28"/>
              </w:rPr>
              <w:t>：</w:t>
            </w:r>
          </w:p>
          <w:p w14:paraId="07881286">
            <w:pPr>
              <w:adjustRightInd w:val="0"/>
              <w:spacing w:line="400" w:lineRule="exact"/>
              <w:jc w:val="left"/>
              <w:textAlignment w:val="baseline"/>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（1）设备到货、安装调试完成并通过验收后，支付合同款的 70%；</w:t>
            </w:r>
          </w:p>
          <w:p w14:paraId="7EC488BD">
            <w:pPr>
              <w:adjustRightInd w:val="0"/>
              <w:spacing w:line="400" w:lineRule="exact"/>
              <w:jc w:val="left"/>
              <w:textAlignment w:val="baseline"/>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（2）设备</w:t>
            </w:r>
            <w:r>
              <w:rPr>
                <w:rFonts w:hint="eastAsia" w:ascii="Times New Roman" w:hAnsi="Times New Roman" w:eastAsia="方正仿宋_GBK" w:cs="Times New Roman"/>
                <w:b/>
                <w:sz w:val="28"/>
                <w:szCs w:val="28"/>
                <w:lang w:eastAsia="zh-CN"/>
              </w:rPr>
              <w:t>试</w:t>
            </w:r>
            <w:r>
              <w:rPr>
                <w:rFonts w:hint="eastAsia" w:ascii="Times New Roman" w:hAnsi="Times New Roman" w:eastAsia="方正仿宋_GBK" w:cs="Times New Roman"/>
                <w:b/>
                <w:sz w:val="28"/>
                <w:szCs w:val="28"/>
              </w:rPr>
              <w:t>运行一学期并无未解决质量和服务问题，支付合同款的 25%；</w:t>
            </w:r>
          </w:p>
          <w:p w14:paraId="0FE4002B">
            <w:pPr>
              <w:adjustRightInd w:val="0"/>
              <w:spacing w:line="400" w:lineRule="exact"/>
              <w:jc w:val="left"/>
              <w:textAlignment w:val="baseline"/>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（3）质保期满且无未解决质量和服务问题，支付剩余 5%(无息)。</w:t>
            </w:r>
          </w:p>
        </w:tc>
      </w:tr>
    </w:tbl>
    <w:p w14:paraId="7792B14A">
      <w:pPr>
        <w:rPr>
          <w:rFonts w:ascii="Times New Roman" w:hAnsi="Times New Roman" w:eastAsia="方正楷体_GBK" w:cs="Times New Roman"/>
          <w:b/>
          <w:w w:val="99"/>
          <w:kern w:val="0"/>
          <w:sz w:val="32"/>
          <w:szCs w:val="32"/>
          <w:lang w:val="zh-CN"/>
        </w:rPr>
      </w:pPr>
      <w:r>
        <w:rPr>
          <w:rFonts w:ascii="Times New Roman" w:hAnsi="Times New Roman" w:eastAsia="方正楷体_GBK" w:cs="Times New Roman"/>
          <w:b/>
          <w:w w:val="99"/>
          <w:kern w:val="0"/>
          <w:sz w:val="32"/>
          <w:szCs w:val="32"/>
          <w:lang w:val="zh-CN"/>
        </w:rPr>
        <w:br w:type="page"/>
      </w:r>
    </w:p>
    <w:p w14:paraId="51A85AA5">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r>
        <w:rPr>
          <w:rFonts w:ascii="Times New Roman" w:hAnsi="Times New Roman" w:eastAsia="方正楷体_GBK" w:cs="Times New Roman"/>
          <w:b/>
          <w:w w:val="99"/>
          <w:kern w:val="0"/>
          <w:sz w:val="21"/>
          <w:szCs w:val="21"/>
          <w:lang w:val="zh-CN"/>
        </w:rPr>
        <w:t>1</w:t>
      </w:r>
      <w:r>
        <w:rPr>
          <w:rFonts w:ascii="Times New Roman" w:hAnsi="Times New Roman" w:eastAsia="方正楷体_GBK" w:cs="Times New Roman"/>
          <w:b/>
          <w:w w:val="99"/>
          <w:kern w:val="0"/>
          <w:sz w:val="21"/>
          <w:szCs w:val="21"/>
        </w:rPr>
        <w:t>.</w:t>
      </w:r>
      <w:r>
        <w:rPr>
          <w:rFonts w:ascii="Times New Roman" w:hAnsi="Times New Roman" w:eastAsia="方正楷体_GBK" w:cs="Times New Roman"/>
          <w:b/>
          <w:w w:val="99"/>
          <w:kern w:val="0"/>
          <w:sz w:val="21"/>
          <w:szCs w:val="21"/>
          <w:lang w:val="zh-CN"/>
        </w:rPr>
        <w:t>总则</w:t>
      </w:r>
    </w:p>
    <w:p w14:paraId="42AA4209">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6" w:name="_Toc334774165"/>
      <w:bookmarkStart w:id="7" w:name="_Toc531594736"/>
      <w:bookmarkStart w:id="8" w:name="_Toc12010"/>
      <w:r>
        <w:rPr>
          <w:rFonts w:ascii="Times New Roman" w:hAnsi="Times New Roman" w:eastAsia="方正仿宋_GBK" w:cs="Times New Roman"/>
          <w:b/>
          <w:kern w:val="0"/>
          <w:sz w:val="21"/>
          <w:szCs w:val="21"/>
        </w:rPr>
        <w:t>1.1 项目概况</w:t>
      </w:r>
      <w:bookmarkEnd w:id="6"/>
      <w:bookmarkEnd w:id="7"/>
      <w:bookmarkEnd w:id="8"/>
    </w:p>
    <w:p w14:paraId="18B421C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1.1.1 根据《</w:t>
      </w:r>
      <w:r>
        <w:rPr>
          <w:rFonts w:hint="eastAsia" w:ascii="Times New Roman" w:hAnsi="Times New Roman" w:eastAsia="方正仿宋_GBK" w:cs="Times New Roman"/>
          <w:kern w:val="0"/>
          <w:sz w:val="21"/>
          <w:szCs w:val="21"/>
        </w:rPr>
        <w:t>重庆财经学院采购与招标工作管理办法</w:t>
      </w:r>
      <w:r>
        <w:rPr>
          <w:rFonts w:ascii="Times New Roman" w:hAnsi="Times New Roman" w:eastAsia="方正仿宋_GBK" w:cs="Times New Roman"/>
          <w:kern w:val="0"/>
          <w:sz w:val="21"/>
          <w:szCs w:val="21"/>
        </w:rPr>
        <w:t>》等规定，对本项目货物采购及服务进行</w:t>
      </w:r>
      <w:r>
        <w:rPr>
          <w:rFonts w:hint="eastAsia" w:ascii="Times New Roman" w:hAnsi="Times New Roman" w:eastAsia="方正仿宋_GBK" w:cs="Times New Roman"/>
          <w:kern w:val="0"/>
          <w:sz w:val="21"/>
          <w:szCs w:val="21"/>
        </w:rPr>
        <w:t>挂网招标</w:t>
      </w:r>
      <w:r>
        <w:rPr>
          <w:rFonts w:ascii="Times New Roman" w:hAnsi="Times New Roman" w:eastAsia="方正仿宋_GBK" w:cs="Times New Roman"/>
          <w:kern w:val="0"/>
          <w:sz w:val="21"/>
          <w:szCs w:val="21"/>
        </w:rPr>
        <w:t>。</w:t>
      </w:r>
    </w:p>
    <w:p w14:paraId="18E39E8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bookmarkStart w:id="9" w:name="_Toc325636584"/>
      <w:bookmarkStart w:id="10" w:name="_Toc531594739"/>
      <w:bookmarkStart w:id="11" w:name="_Toc334774168"/>
      <w:bookmarkStart w:id="12" w:name="_Toc8901"/>
      <w:r>
        <w:rPr>
          <w:rFonts w:ascii="Times New Roman" w:hAnsi="Times New Roman" w:eastAsia="方正仿宋_GBK" w:cs="Times New Roman"/>
          <w:kern w:val="0"/>
          <w:sz w:val="21"/>
          <w:szCs w:val="21"/>
        </w:rPr>
        <w:t>1.1.2 本招标项目名称、项目地点：见投标人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008D049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1.1.3 招标人名称、地址、联系方式：见投标人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777A9BD1">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3" w:name="_Toc200513128"/>
      <w:bookmarkStart w:id="14" w:name="_Toc317863424"/>
      <w:bookmarkStart w:id="15" w:name="_Toc325636582"/>
      <w:bookmarkStart w:id="16" w:name="_Toc31904"/>
      <w:bookmarkStart w:id="17" w:name="_Toc531594737"/>
      <w:bookmarkStart w:id="18" w:name="_Toc334774166"/>
      <w:r>
        <w:rPr>
          <w:rFonts w:ascii="Times New Roman" w:hAnsi="Times New Roman" w:eastAsia="方正仿宋_GBK" w:cs="Times New Roman"/>
          <w:b/>
          <w:kern w:val="0"/>
          <w:sz w:val="21"/>
          <w:szCs w:val="21"/>
        </w:rPr>
        <w:t xml:space="preserve">1.2 </w:t>
      </w:r>
      <w:bookmarkEnd w:id="13"/>
      <w:bookmarkEnd w:id="14"/>
      <w:bookmarkEnd w:id="15"/>
      <w:r>
        <w:rPr>
          <w:rFonts w:ascii="Times New Roman" w:hAnsi="Times New Roman" w:eastAsia="方正仿宋_GBK" w:cs="Times New Roman"/>
          <w:b/>
          <w:kern w:val="0"/>
          <w:sz w:val="21"/>
          <w:szCs w:val="21"/>
        </w:rPr>
        <w:t>资金来源和落实情况</w:t>
      </w:r>
      <w:bookmarkEnd w:id="16"/>
      <w:bookmarkEnd w:id="17"/>
      <w:bookmarkEnd w:id="18"/>
    </w:p>
    <w:p w14:paraId="1FC26AC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1.2.1 本招标项目的资金来源：见投标人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3D9D272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1.2.2 本招标项目的资金落实情况：见投标人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3D665A53">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9" w:name="_Toc317863425"/>
      <w:bookmarkStart w:id="20" w:name="_Toc200513129"/>
      <w:bookmarkStart w:id="21" w:name="_Toc21275"/>
      <w:bookmarkStart w:id="22" w:name="_Toc325636583"/>
      <w:bookmarkStart w:id="23" w:name="_Toc334774167"/>
      <w:bookmarkStart w:id="24" w:name="_Toc531594738"/>
      <w:r>
        <w:rPr>
          <w:rFonts w:ascii="Times New Roman" w:hAnsi="Times New Roman" w:eastAsia="方正仿宋_GBK" w:cs="Times New Roman"/>
          <w:b/>
          <w:kern w:val="0"/>
          <w:sz w:val="21"/>
          <w:szCs w:val="21"/>
        </w:rPr>
        <w:t>1.3 招标</w:t>
      </w:r>
      <w:bookmarkEnd w:id="19"/>
      <w:bookmarkEnd w:id="20"/>
      <w:r>
        <w:rPr>
          <w:rFonts w:ascii="Times New Roman" w:hAnsi="Times New Roman" w:eastAsia="方正仿宋_GBK" w:cs="Times New Roman"/>
          <w:b/>
          <w:kern w:val="0"/>
          <w:sz w:val="21"/>
          <w:szCs w:val="21"/>
        </w:rPr>
        <w:t>内容</w:t>
      </w:r>
      <w:bookmarkEnd w:id="21"/>
      <w:bookmarkEnd w:id="22"/>
      <w:bookmarkEnd w:id="23"/>
      <w:bookmarkEnd w:id="24"/>
    </w:p>
    <w:p w14:paraId="63D6402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1.3.1 本次招标范围：见投标人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5D6E2BD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1.3.2 交货方式、交货时间：见投标人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3A89E54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1.3.3 伴随服务要求：见投标人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453019A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1.3.4 质量保证期：见投标人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2ED204B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1.3.5 质量要求：见投标人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27566AE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1.3.6 售后服务：见投标人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07BB2A5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1.3.7 项目验收：见投标人</w:t>
      </w:r>
      <w:r>
        <w:rPr>
          <w:rFonts w:hint="eastAsia" w:ascii="Times New Roman" w:hAnsi="Times New Roman" w:eastAsia="方正仿宋_GBK" w:cs="Times New Roman"/>
          <w:kern w:val="0"/>
          <w:sz w:val="21"/>
          <w:szCs w:val="21"/>
        </w:rPr>
        <w:t>须知</w:t>
      </w:r>
      <w:r>
        <w:rPr>
          <w:rFonts w:ascii="Times New Roman" w:hAnsi="Times New Roman" w:eastAsia="方正仿宋_GBK" w:cs="Times New Roman"/>
          <w:kern w:val="0"/>
          <w:sz w:val="21"/>
          <w:szCs w:val="21"/>
        </w:rPr>
        <w:t>前附表。</w:t>
      </w:r>
    </w:p>
    <w:p w14:paraId="59197E16">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1.4 投标人资格要求</w:t>
      </w:r>
      <w:bookmarkEnd w:id="9"/>
      <w:bookmarkEnd w:id="10"/>
      <w:bookmarkEnd w:id="11"/>
      <w:bookmarkEnd w:id="12"/>
    </w:p>
    <w:p w14:paraId="4206E94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1.4.1 投标人应具备承担本项目的资质条件、能力和信誉。</w:t>
      </w:r>
    </w:p>
    <w:p w14:paraId="1E30607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1.4.2 本项目不接受联合体投标。</w:t>
      </w:r>
    </w:p>
    <w:p w14:paraId="40F0E7D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1.4.3 投标人不得存在下列情形之一：</w:t>
      </w:r>
    </w:p>
    <w:p w14:paraId="74FA97D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1.4.3.1 与国有资金投资或国家融资项目的招标人或招标代理机构有控股关系；</w:t>
      </w:r>
    </w:p>
    <w:p w14:paraId="4CA0F00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1.4.3.2 单位负责人为同一人或者存在控股、管理关系的不同单位，不得参加同一标段投标或者未划分标段的同一招标项目投标。</w:t>
      </w:r>
    </w:p>
    <w:p w14:paraId="5525D27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1.4.3.3 为参加同一招标项目投标的其他投标人编制投标文件或提供咨询服务；</w:t>
      </w:r>
    </w:p>
    <w:p w14:paraId="27077AA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1.4.3.4 被有关行政部门暂停投标资格期限未满。</w:t>
      </w:r>
    </w:p>
    <w:p w14:paraId="64F9B362">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25" w:name="_Toc200513132"/>
      <w:bookmarkStart w:id="26" w:name="_Toc317863427"/>
      <w:bookmarkStart w:id="27" w:name="_Toc334774169"/>
      <w:bookmarkStart w:id="28" w:name="_Toc325636585"/>
      <w:bookmarkStart w:id="29" w:name="_Toc531594740"/>
      <w:bookmarkStart w:id="30" w:name="_Toc17569"/>
      <w:r>
        <w:rPr>
          <w:rFonts w:ascii="Times New Roman" w:hAnsi="Times New Roman" w:eastAsia="方正仿宋_GBK" w:cs="Times New Roman"/>
          <w:b/>
          <w:kern w:val="0"/>
          <w:sz w:val="21"/>
          <w:szCs w:val="21"/>
        </w:rPr>
        <w:t>1.5 费用承担</w:t>
      </w:r>
      <w:bookmarkEnd w:id="25"/>
      <w:bookmarkEnd w:id="26"/>
      <w:bookmarkEnd w:id="27"/>
      <w:bookmarkEnd w:id="28"/>
      <w:bookmarkEnd w:id="29"/>
      <w:bookmarkEnd w:id="30"/>
    </w:p>
    <w:p w14:paraId="5A63987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不论投标结果如何，投标人应自行承担其准备和参加本投标活动所涉及的一切费用。</w:t>
      </w:r>
    </w:p>
    <w:p w14:paraId="39DCA2E3">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31" w:name="_Toc200513133"/>
      <w:bookmarkStart w:id="32" w:name="_Toc317863428"/>
      <w:bookmarkStart w:id="33" w:name="_Toc334774170"/>
      <w:bookmarkStart w:id="34" w:name="_Toc325636586"/>
      <w:r>
        <w:rPr>
          <w:rFonts w:ascii="Times New Roman" w:hAnsi="Times New Roman" w:eastAsia="方正仿宋_GBK" w:cs="Times New Roman"/>
          <w:b/>
          <w:kern w:val="0"/>
          <w:sz w:val="21"/>
          <w:szCs w:val="21"/>
        </w:rPr>
        <w:t>1.6 保密</w:t>
      </w:r>
      <w:bookmarkEnd w:id="31"/>
      <w:bookmarkEnd w:id="32"/>
      <w:bookmarkEnd w:id="33"/>
      <w:bookmarkEnd w:id="34"/>
    </w:p>
    <w:p w14:paraId="6061A4E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参与招标投标活动的各方应对招标文件和投标文件中的商业和技术等秘密保密，违者应对由此造成的后果承担法律责任。</w:t>
      </w:r>
    </w:p>
    <w:p w14:paraId="1CFFDB81">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35" w:name="_Toc200513134"/>
      <w:bookmarkStart w:id="36" w:name="_Toc334774171"/>
      <w:bookmarkStart w:id="37" w:name="_Toc317863429"/>
      <w:bookmarkStart w:id="38" w:name="_Toc19952"/>
      <w:bookmarkStart w:id="39" w:name="_Toc325636587"/>
      <w:bookmarkStart w:id="40" w:name="_Toc531594741"/>
      <w:r>
        <w:rPr>
          <w:rFonts w:ascii="Times New Roman" w:hAnsi="Times New Roman" w:eastAsia="方正仿宋_GBK" w:cs="Times New Roman"/>
          <w:b/>
          <w:kern w:val="0"/>
          <w:sz w:val="21"/>
          <w:szCs w:val="21"/>
        </w:rPr>
        <w:t>1.7 语言文字</w:t>
      </w:r>
      <w:bookmarkEnd w:id="35"/>
      <w:bookmarkEnd w:id="36"/>
      <w:bookmarkEnd w:id="37"/>
      <w:bookmarkEnd w:id="38"/>
      <w:bookmarkEnd w:id="39"/>
      <w:bookmarkEnd w:id="40"/>
    </w:p>
    <w:p w14:paraId="1E94B67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除专用术语外，与招标投标有关的语言均使用中文。必要时专用术语应附有中文注释。</w:t>
      </w:r>
    </w:p>
    <w:p w14:paraId="4A27A09B">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41" w:name="_Toc334774172"/>
      <w:bookmarkStart w:id="42" w:name="_Toc531594742"/>
      <w:bookmarkStart w:id="43" w:name="_Toc317863430"/>
      <w:bookmarkStart w:id="44" w:name="_Toc16650"/>
      <w:bookmarkStart w:id="45" w:name="_Toc200513135"/>
      <w:bookmarkStart w:id="46" w:name="_Toc325636588"/>
      <w:r>
        <w:rPr>
          <w:rFonts w:ascii="Times New Roman" w:hAnsi="Times New Roman" w:eastAsia="方正仿宋_GBK" w:cs="Times New Roman"/>
          <w:b/>
          <w:kern w:val="0"/>
          <w:sz w:val="21"/>
          <w:szCs w:val="21"/>
        </w:rPr>
        <w:t>1.8 计量单位</w:t>
      </w:r>
      <w:bookmarkEnd w:id="41"/>
      <w:bookmarkEnd w:id="42"/>
      <w:bookmarkEnd w:id="43"/>
      <w:bookmarkEnd w:id="44"/>
      <w:bookmarkEnd w:id="45"/>
      <w:bookmarkEnd w:id="46"/>
    </w:p>
    <w:p w14:paraId="6D4943C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所有计量均采用中华人民共和国法定计量单位。</w:t>
      </w:r>
    </w:p>
    <w:p w14:paraId="2EBB2C73">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47" w:name="_Toc325636589"/>
      <w:bookmarkStart w:id="48" w:name="_Toc531594743"/>
      <w:bookmarkStart w:id="49" w:name="_Toc26520"/>
      <w:bookmarkStart w:id="50" w:name="_Toc317863431"/>
      <w:bookmarkStart w:id="51" w:name="_Toc334774173"/>
      <w:bookmarkStart w:id="52" w:name="_Toc200513136"/>
      <w:r>
        <w:rPr>
          <w:rFonts w:ascii="Times New Roman" w:hAnsi="Times New Roman" w:eastAsia="方正仿宋_GBK" w:cs="Times New Roman"/>
          <w:b/>
          <w:kern w:val="0"/>
          <w:sz w:val="21"/>
          <w:szCs w:val="21"/>
        </w:rPr>
        <w:t>1.9 踏勘现场</w:t>
      </w:r>
      <w:bookmarkEnd w:id="47"/>
      <w:bookmarkEnd w:id="48"/>
      <w:bookmarkEnd w:id="49"/>
      <w:bookmarkEnd w:id="50"/>
      <w:bookmarkEnd w:id="51"/>
      <w:bookmarkEnd w:id="52"/>
    </w:p>
    <w:p w14:paraId="5DA4FFE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由投标人自行踏勘现场。</w:t>
      </w:r>
    </w:p>
    <w:p w14:paraId="1DFB4A98">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1.10 投标预备会</w:t>
      </w:r>
    </w:p>
    <w:p w14:paraId="4C6969B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本项目不组织投标预备会。</w:t>
      </w:r>
    </w:p>
    <w:p w14:paraId="030A13D6">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53" w:name="_Toc19903"/>
      <w:bookmarkStart w:id="54" w:name="_Toc325636593"/>
      <w:bookmarkStart w:id="55" w:name="_Toc531594746"/>
      <w:bookmarkStart w:id="56" w:name="_Toc317863435"/>
      <w:bookmarkStart w:id="57" w:name="_Toc334774176"/>
      <w:r>
        <w:rPr>
          <w:rFonts w:ascii="Times New Roman" w:hAnsi="Times New Roman" w:eastAsia="方正仿宋_GBK" w:cs="Times New Roman"/>
          <w:b/>
          <w:kern w:val="0"/>
          <w:sz w:val="21"/>
          <w:szCs w:val="21"/>
        </w:rPr>
        <w:t>1.11 偏离</w:t>
      </w:r>
      <w:bookmarkEnd w:id="53"/>
      <w:bookmarkEnd w:id="54"/>
      <w:bookmarkEnd w:id="55"/>
      <w:bookmarkEnd w:id="56"/>
      <w:bookmarkEnd w:id="57"/>
    </w:p>
    <w:p w14:paraId="34A7B79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w:t>
      </w:r>
      <w:r>
        <w:rPr>
          <w:rFonts w:hint="eastAsia" w:ascii="Times New Roman" w:hAnsi="Times New Roman" w:eastAsia="方正仿宋_GBK" w:cs="Times New Roman"/>
          <w:kern w:val="0"/>
          <w:sz w:val="21"/>
          <w:szCs w:val="21"/>
        </w:rPr>
        <w:t>须</w:t>
      </w:r>
      <w:r>
        <w:rPr>
          <w:rFonts w:ascii="Times New Roman" w:hAnsi="Times New Roman" w:eastAsia="方正仿宋_GBK" w:cs="Times New Roman"/>
          <w:kern w:val="0"/>
          <w:sz w:val="21"/>
          <w:szCs w:val="21"/>
        </w:rPr>
        <w:t>知前附表允许投标文件偏离招标文件某些要求的，偏离应当符合招标文件规定的偏离范围和幅度。</w:t>
      </w:r>
    </w:p>
    <w:p w14:paraId="213B9E5D">
      <w:pPr>
        <w:autoSpaceDE w:val="0"/>
        <w:autoSpaceDN w:val="0"/>
        <w:adjustRightInd w:val="0"/>
        <w:snapToGrid w:val="0"/>
        <w:spacing w:line="240" w:lineRule="exact"/>
        <w:ind w:firstLine="416" w:firstLineChars="200"/>
        <w:jc w:val="left"/>
        <w:outlineLvl w:val="2"/>
        <w:rPr>
          <w:rFonts w:ascii="Times New Roman" w:hAnsi="Times New Roman" w:eastAsia="方正楷体_GBK" w:cs="Times New Roman"/>
          <w:b/>
          <w:w w:val="99"/>
          <w:kern w:val="0"/>
          <w:sz w:val="21"/>
          <w:szCs w:val="21"/>
          <w:lang w:val="zh-CN"/>
        </w:rPr>
      </w:pPr>
      <w:bookmarkStart w:id="58" w:name="_Toc200513140"/>
      <w:bookmarkStart w:id="59" w:name="_Toc317863436"/>
      <w:bookmarkStart w:id="60" w:name="_Toc778"/>
      <w:bookmarkStart w:id="61" w:name="_Toc334774177"/>
      <w:bookmarkStart w:id="62" w:name="_Toc531594747"/>
      <w:r>
        <w:rPr>
          <w:rFonts w:ascii="Times New Roman" w:hAnsi="Times New Roman" w:eastAsia="方正楷体_GBK" w:cs="Times New Roman"/>
          <w:b/>
          <w:w w:val="99"/>
          <w:kern w:val="0"/>
          <w:sz w:val="21"/>
          <w:szCs w:val="21"/>
          <w:lang w:val="zh-CN"/>
        </w:rPr>
        <w:t>2.招标文件</w:t>
      </w:r>
      <w:bookmarkEnd w:id="58"/>
      <w:bookmarkEnd w:id="59"/>
      <w:bookmarkEnd w:id="60"/>
      <w:bookmarkEnd w:id="61"/>
      <w:bookmarkEnd w:id="62"/>
    </w:p>
    <w:p w14:paraId="0737133B">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63" w:name="_Toc334774178"/>
      <w:bookmarkStart w:id="64" w:name="_Toc317863437"/>
      <w:bookmarkStart w:id="65" w:name="_Toc32194"/>
      <w:bookmarkStart w:id="66" w:name="_Toc531594748"/>
      <w:bookmarkStart w:id="67" w:name="_Toc325636595"/>
      <w:bookmarkStart w:id="68" w:name="_Toc200513141"/>
      <w:r>
        <w:rPr>
          <w:rFonts w:ascii="Times New Roman" w:hAnsi="Times New Roman" w:eastAsia="方正仿宋_GBK" w:cs="Times New Roman"/>
          <w:b/>
          <w:kern w:val="0"/>
          <w:sz w:val="21"/>
          <w:szCs w:val="21"/>
        </w:rPr>
        <w:t>2.1 招标文件的组成</w:t>
      </w:r>
      <w:bookmarkEnd w:id="63"/>
      <w:bookmarkEnd w:id="64"/>
      <w:bookmarkEnd w:id="65"/>
      <w:bookmarkEnd w:id="66"/>
      <w:bookmarkEnd w:id="67"/>
      <w:bookmarkEnd w:id="68"/>
    </w:p>
    <w:p w14:paraId="66E96FC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本招标文件包括：</w:t>
      </w:r>
    </w:p>
    <w:p w14:paraId="24734CF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（1）招标公告；</w:t>
      </w:r>
    </w:p>
    <w:p w14:paraId="765B6CE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（2）投标人须知；</w:t>
      </w:r>
    </w:p>
    <w:p w14:paraId="382406A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（3）技术标准和要求；</w:t>
      </w:r>
    </w:p>
    <w:p w14:paraId="61C77E9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（4）评标办法；</w:t>
      </w:r>
    </w:p>
    <w:p w14:paraId="3D50345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（5）投标文件格式；</w:t>
      </w:r>
    </w:p>
    <w:p w14:paraId="48F473A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根据本章第1.10款、第2.2款和第2.3款对招标文件所</w:t>
      </w:r>
      <w:r>
        <w:rPr>
          <w:rFonts w:hint="eastAsia" w:ascii="Times New Roman" w:hAnsi="Times New Roman" w:eastAsia="方正仿宋_GBK" w:cs="Times New Roman"/>
          <w:kern w:val="0"/>
          <w:sz w:val="21"/>
          <w:szCs w:val="21"/>
        </w:rPr>
        <w:t>做</w:t>
      </w:r>
      <w:r>
        <w:rPr>
          <w:rFonts w:ascii="Times New Roman" w:hAnsi="Times New Roman" w:eastAsia="方正仿宋_GBK" w:cs="Times New Roman"/>
          <w:kern w:val="0"/>
          <w:sz w:val="21"/>
          <w:szCs w:val="21"/>
        </w:rPr>
        <w:t>的澄清、修改，构成招标文件的组成部分。</w:t>
      </w:r>
    </w:p>
    <w:p w14:paraId="650682AC">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69" w:name="_Toc325636596"/>
      <w:bookmarkStart w:id="70" w:name="_Toc317863438"/>
      <w:bookmarkStart w:id="71" w:name="_Toc200513142"/>
      <w:bookmarkStart w:id="72" w:name="_Toc334774179"/>
      <w:bookmarkStart w:id="73" w:name="_Toc13635"/>
      <w:bookmarkStart w:id="74" w:name="_Toc531594749"/>
      <w:r>
        <w:rPr>
          <w:rFonts w:ascii="Times New Roman" w:hAnsi="Times New Roman" w:eastAsia="方正仿宋_GBK" w:cs="Times New Roman"/>
          <w:b/>
          <w:kern w:val="0"/>
          <w:sz w:val="21"/>
          <w:szCs w:val="21"/>
        </w:rPr>
        <w:t xml:space="preserve">2.2 </w:t>
      </w:r>
      <w:bookmarkEnd w:id="69"/>
      <w:bookmarkEnd w:id="70"/>
      <w:bookmarkEnd w:id="71"/>
      <w:bookmarkEnd w:id="72"/>
      <w:r>
        <w:rPr>
          <w:rFonts w:ascii="Times New Roman" w:hAnsi="Times New Roman" w:eastAsia="方正仿宋_GBK" w:cs="Times New Roman"/>
          <w:b/>
          <w:kern w:val="0"/>
          <w:sz w:val="21"/>
          <w:szCs w:val="21"/>
        </w:rPr>
        <w:t>对招标文件的疑问</w:t>
      </w:r>
      <w:bookmarkEnd w:id="73"/>
      <w:bookmarkEnd w:id="74"/>
    </w:p>
    <w:p w14:paraId="45CFDD9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2.2.1投标人应仔细阅读和检查下载的招标文件的全部内容。如发现缺页或附件不全，应及时向招标人提出，以便补齐。如有疑问，应在投标人须知前附表规定的形式和时间前，通知并要求招标人对招标文件予以澄清。</w:t>
      </w:r>
    </w:p>
    <w:p w14:paraId="5275EE22">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75" w:name="_Toc29041"/>
      <w:bookmarkStart w:id="76" w:name="_Toc531594750"/>
      <w:r>
        <w:rPr>
          <w:rFonts w:ascii="Times New Roman" w:hAnsi="Times New Roman" w:eastAsia="方正仿宋_GBK" w:cs="Times New Roman"/>
          <w:b/>
          <w:kern w:val="0"/>
          <w:sz w:val="21"/>
          <w:szCs w:val="21"/>
        </w:rPr>
        <w:t>2.3 招标文件的澄清、修改和答疑</w:t>
      </w:r>
      <w:bookmarkEnd w:id="75"/>
      <w:bookmarkEnd w:id="76"/>
    </w:p>
    <w:p w14:paraId="113D723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2.3.1 投标人如果有疑问，招标人以须知前附表规定的形式对招标文件澄清、修改和答疑，在重</w:t>
      </w:r>
      <w:r>
        <w:rPr>
          <w:rFonts w:hint="eastAsia" w:ascii="Times New Roman" w:hAnsi="Times New Roman" w:eastAsia="方正仿宋_GBK" w:cs="Times New Roman"/>
          <w:kern w:val="0"/>
          <w:sz w:val="21"/>
          <w:szCs w:val="21"/>
        </w:rPr>
        <w:t>庆</w:t>
      </w:r>
      <w:r>
        <w:rPr>
          <w:rFonts w:ascii="Times New Roman" w:hAnsi="Times New Roman" w:eastAsia="方正仿宋_GBK" w:cs="Times New Roman"/>
          <w:kern w:val="0"/>
          <w:sz w:val="21"/>
          <w:szCs w:val="21"/>
        </w:rPr>
        <w:t>财经学院校园网（http://www.cfec.edu.cn）发出通知或答疑通知；投标人应时刻在网上相应地方</w:t>
      </w:r>
      <w:r>
        <w:rPr>
          <w:rFonts w:hint="eastAsia" w:ascii="Times New Roman" w:hAnsi="Times New Roman" w:eastAsia="方正仿宋_GBK" w:cs="Times New Roman"/>
          <w:kern w:val="0"/>
          <w:sz w:val="21"/>
          <w:szCs w:val="21"/>
        </w:rPr>
        <w:t>查询</w:t>
      </w:r>
      <w:r>
        <w:rPr>
          <w:rFonts w:ascii="Times New Roman" w:hAnsi="Times New Roman" w:eastAsia="方正仿宋_GBK" w:cs="Times New Roman"/>
          <w:kern w:val="0"/>
          <w:sz w:val="21"/>
          <w:szCs w:val="21"/>
        </w:rPr>
        <w:t>通知、修改、答疑等信息，如果投标人疏忽大意，其后果自负。如果澄清、修改和答疑的时间距投标截止时间不足1天，经有关部门同意后通知相应延长投标截止时间。</w:t>
      </w:r>
    </w:p>
    <w:p w14:paraId="7D54202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2.3.2 投标人网上收到答疑、修改通知后，应按照内容执行，不必确认已收到该修改。</w:t>
      </w:r>
    </w:p>
    <w:p w14:paraId="1F61F5B3">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bookmarkStart w:id="77" w:name="_Toc18374"/>
      <w:bookmarkStart w:id="78" w:name="_Toc531594751"/>
      <w:r>
        <w:rPr>
          <w:rFonts w:ascii="Times New Roman" w:hAnsi="Times New Roman" w:eastAsia="方正楷体_GBK" w:cs="Times New Roman"/>
          <w:b/>
          <w:w w:val="99"/>
          <w:kern w:val="0"/>
          <w:sz w:val="21"/>
          <w:szCs w:val="21"/>
          <w:lang w:val="zh-CN"/>
        </w:rPr>
        <w:t>3.投标文件</w:t>
      </w:r>
      <w:bookmarkEnd w:id="77"/>
      <w:bookmarkEnd w:id="78"/>
    </w:p>
    <w:p w14:paraId="2D53A674">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79" w:name="_Toc19286"/>
      <w:bookmarkStart w:id="80" w:name="_Toc317863441"/>
      <w:bookmarkStart w:id="81" w:name="_Toc200513145"/>
      <w:bookmarkStart w:id="82" w:name="_Toc325636599"/>
      <w:bookmarkStart w:id="83" w:name="_Toc531594752"/>
      <w:bookmarkStart w:id="84" w:name="_Toc334774182"/>
      <w:r>
        <w:rPr>
          <w:rFonts w:ascii="Times New Roman" w:hAnsi="Times New Roman" w:eastAsia="方正仿宋_GBK" w:cs="Times New Roman"/>
          <w:b/>
          <w:kern w:val="0"/>
          <w:sz w:val="21"/>
          <w:szCs w:val="21"/>
        </w:rPr>
        <w:t>3.1 投标文件的组成</w:t>
      </w:r>
      <w:bookmarkEnd w:id="79"/>
      <w:bookmarkEnd w:id="80"/>
      <w:bookmarkEnd w:id="81"/>
      <w:bookmarkEnd w:id="82"/>
      <w:bookmarkEnd w:id="83"/>
      <w:bookmarkEnd w:id="84"/>
    </w:p>
    <w:p w14:paraId="1735B10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3.1.1 投标函</w:t>
      </w:r>
    </w:p>
    <w:p w14:paraId="01D4D5B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3.1.2 法定代表人身份证明及授权委托书</w:t>
      </w:r>
    </w:p>
    <w:p w14:paraId="5D17E9E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3.1.3 投标人基本情况表</w:t>
      </w:r>
    </w:p>
    <w:p w14:paraId="7976337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 xml:space="preserve">3.1.4 </w:t>
      </w:r>
      <w:r>
        <w:rPr>
          <w:rFonts w:hint="eastAsia" w:ascii="Times New Roman" w:hAnsi="Times New Roman" w:eastAsia="方正仿宋_GBK" w:cs="Times New Roman"/>
          <w:kern w:val="0"/>
          <w:sz w:val="21"/>
          <w:szCs w:val="21"/>
        </w:rPr>
        <w:t>响应文件</w:t>
      </w:r>
    </w:p>
    <w:p w14:paraId="46A2460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3.1.5 相关资质证明及承诺</w:t>
      </w:r>
    </w:p>
    <w:p w14:paraId="5A668CD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3.1.6 售后服务</w:t>
      </w:r>
    </w:p>
    <w:p w14:paraId="2B35A9F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3.1.7 投标业绩一览表</w:t>
      </w:r>
    </w:p>
    <w:p w14:paraId="23CC590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3.1.8 近</w:t>
      </w:r>
      <w:r>
        <w:rPr>
          <w:rFonts w:hint="eastAsia" w:ascii="Times New Roman" w:hAnsi="Times New Roman" w:eastAsia="方正仿宋_GBK" w:cs="Times New Roman"/>
          <w:kern w:val="0"/>
          <w:sz w:val="21"/>
          <w:szCs w:val="21"/>
        </w:rPr>
        <w:t>三</w:t>
      </w:r>
      <w:r>
        <w:rPr>
          <w:rFonts w:ascii="Times New Roman" w:hAnsi="Times New Roman" w:eastAsia="方正仿宋_GBK" w:cs="Times New Roman"/>
          <w:kern w:val="0"/>
          <w:sz w:val="21"/>
          <w:szCs w:val="21"/>
        </w:rPr>
        <w:t>年</w:t>
      </w:r>
      <w:r>
        <w:rPr>
          <w:rFonts w:hint="eastAsia" w:ascii="Times New Roman" w:hAnsi="Times New Roman" w:eastAsia="方正仿宋_GBK" w:cs="Times New Roman"/>
          <w:kern w:val="0"/>
          <w:sz w:val="21"/>
          <w:szCs w:val="21"/>
        </w:rPr>
        <w:t>年度</w:t>
      </w:r>
      <w:r>
        <w:rPr>
          <w:rFonts w:ascii="Times New Roman" w:hAnsi="Times New Roman" w:eastAsia="方正仿宋_GBK" w:cs="Times New Roman"/>
          <w:kern w:val="0"/>
          <w:sz w:val="21"/>
          <w:szCs w:val="21"/>
        </w:rPr>
        <w:t>财务报表（包括资产负债表、利润表和现金流量表）</w:t>
      </w:r>
    </w:p>
    <w:p w14:paraId="21ECDF0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3.1.9 近</w:t>
      </w:r>
      <w:r>
        <w:rPr>
          <w:rFonts w:hint="eastAsia" w:ascii="Times New Roman" w:hAnsi="Times New Roman" w:eastAsia="方正仿宋_GBK" w:cs="Times New Roman"/>
          <w:kern w:val="0"/>
          <w:sz w:val="21"/>
          <w:szCs w:val="21"/>
        </w:rPr>
        <w:t>三</w:t>
      </w:r>
      <w:r>
        <w:rPr>
          <w:rFonts w:ascii="Times New Roman" w:hAnsi="Times New Roman" w:eastAsia="方正仿宋_GBK" w:cs="Times New Roman"/>
          <w:kern w:val="0"/>
          <w:sz w:val="21"/>
          <w:szCs w:val="21"/>
        </w:rPr>
        <w:t>年</w:t>
      </w:r>
      <w:r>
        <w:rPr>
          <w:rFonts w:hint="eastAsia" w:ascii="Times New Roman" w:hAnsi="Times New Roman" w:eastAsia="方正仿宋_GBK" w:cs="Times New Roman"/>
          <w:kern w:val="0"/>
          <w:sz w:val="21"/>
          <w:szCs w:val="21"/>
        </w:rPr>
        <w:t>年度纳税、社保证明</w:t>
      </w:r>
    </w:p>
    <w:p w14:paraId="69D38D0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3.1.10</w:t>
      </w:r>
      <w:r>
        <w:rPr>
          <w:rFonts w:hint="eastAsia" w:ascii="Times New Roman" w:hAnsi="Times New Roman" w:eastAsia="方正仿宋_GBK" w:cs="Times New Roman"/>
          <w:kern w:val="0"/>
          <w:sz w:val="21"/>
          <w:szCs w:val="21"/>
        </w:rPr>
        <w:t xml:space="preserve"> </w:t>
      </w:r>
      <w:r>
        <w:rPr>
          <w:rFonts w:ascii="Times New Roman" w:hAnsi="Times New Roman" w:eastAsia="方正仿宋_GBK" w:cs="Times New Roman"/>
          <w:kern w:val="0"/>
          <w:sz w:val="21"/>
          <w:szCs w:val="21"/>
        </w:rPr>
        <w:t>近</w:t>
      </w:r>
      <w:r>
        <w:rPr>
          <w:rFonts w:hint="eastAsia" w:ascii="Times New Roman" w:hAnsi="Times New Roman" w:eastAsia="方正仿宋_GBK" w:cs="Times New Roman"/>
          <w:kern w:val="0"/>
          <w:sz w:val="21"/>
          <w:szCs w:val="21"/>
        </w:rPr>
        <w:t>三</w:t>
      </w:r>
      <w:r>
        <w:rPr>
          <w:rFonts w:ascii="Times New Roman" w:hAnsi="Times New Roman" w:eastAsia="方正仿宋_GBK" w:cs="Times New Roman"/>
          <w:kern w:val="0"/>
          <w:sz w:val="21"/>
          <w:szCs w:val="21"/>
        </w:rPr>
        <w:t>年</w:t>
      </w:r>
      <w:r>
        <w:rPr>
          <w:rFonts w:hint="eastAsia" w:ascii="Times New Roman" w:hAnsi="Times New Roman" w:eastAsia="方正仿宋_GBK" w:cs="Times New Roman"/>
          <w:kern w:val="0"/>
          <w:sz w:val="21"/>
          <w:szCs w:val="21"/>
        </w:rPr>
        <w:t>官网诚信证明截图</w:t>
      </w:r>
    </w:p>
    <w:p w14:paraId="7FD88DA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 xml:space="preserve">3.1.11 </w:t>
      </w:r>
      <w:r>
        <w:rPr>
          <w:rFonts w:ascii="Times New Roman" w:hAnsi="Times New Roman" w:eastAsia="方正仿宋_GBK" w:cs="Times New Roman"/>
          <w:kern w:val="0"/>
          <w:sz w:val="21"/>
          <w:szCs w:val="21"/>
        </w:rPr>
        <w:t>承诺函</w:t>
      </w:r>
    </w:p>
    <w:p w14:paraId="1C3E38E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3.1.12 投标文件PDF格式的电子档U盘一份</w:t>
      </w:r>
    </w:p>
    <w:p w14:paraId="057CE398">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3.2 投标报价</w:t>
      </w:r>
    </w:p>
    <w:p w14:paraId="2333E9E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3.2.1 投标人应按投标人须知前附表及其相关规定填报。</w:t>
      </w:r>
    </w:p>
    <w:p w14:paraId="19A118CA">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85" w:name="_Toc334774184"/>
      <w:bookmarkStart w:id="86" w:name="_Toc200513147"/>
      <w:bookmarkStart w:id="87" w:name="_Toc317863443"/>
      <w:bookmarkStart w:id="88" w:name="_Toc531594754"/>
      <w:bookmarkStart w:id="89" w:name="_Toc325636601"/>
      <w:bookmarkStart w:id="90" w:name="_Toc12196"/>
      <w:r>
        <w:rPr>
          <w:rFonts w:ascii="Times New Roman" w:hAnsi="Times New Roman" w:eastAsia="方正仿宋_GBK" w:cs="Times New Roman"/>
          <w:b/>
          <w:kern w:val="0"/>
          <w:sz w:val="21"/>
          <w:szCs w:val="21"/>
        </w:rPr>
        <w:t>3.3 投标有效期</w:t>
      </w:r>
      <w:bookmarkEnd w:id="85"/>
      <w:bookmarkEnd w:id="86"/>
      <w:bookmarkEnd w:id="87"/>
      <w:bookmarkEnd w:id="88"/>
      <w:bookmarkEnd w:id="89"/>
      <w:bookmarkEnd w:id="90"/>
    </w:p>
    <w:p w14:paraId="5440B70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3.3.1 在投标人须知前附表规定的投标有效期内，投标人不得要求撤销或修改其投标文件。</w:t>
      </w:r>
    </w:p>
    <w:p w14:paraId="51B96EF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1E3C0A4">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91" w:name="_Toc28560"/>
      <w:bookmarkStart w:id="92" w:name="_Toc531594755"/>
      <w:bookmarkStart w:id="93" w:name="_Toc317863444"/>
      <w:bookmarkStart w:id="94" w:name="_Toc325636602"/>
      <w:bookmarkStart w:id="95" w:name="_Toc334774185"/>
      <w:bookmarkStart w:id="96" w:name="_Toc200513148"/>
      <w:r>
        <w:rPr>
          <w:rFonts w:ascii="Times New Roman" w:hAnsi="Times New Roman" w:eastAsia="方正仿宋_GBK" w:cs="Times New Roman"/>
          <w:b/>
          <w:kern w:val="0"/>
          <w:sz w:val="21"/>
          <w:szCs w:val="21"/>
        </w:rPr>
        <w:t>3.4 投标保证金</w:t>
      </w:r>
      <w:bookmarkEnd w:id="91"/>
      <w:bookmarkEnd w:id="92"/>
      <w:bookmarkEnd w:id="93"/>
      <w:bookmarkEnd w:id="94"/>
      <w:bookmarkEnd w:id="95"/>
      <w:bookmarkEnd w:id="96"/>
    </w:p>
    <w:p w14:paraId="2962408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3.4.1 投标人在递交投标文件的同时，应按“投标人须知前附表”规定的金额、形式缴纳投标保证金，并作为其投标文件的组成部分。</w:t>
      </w:r>
    </w:p>
    <w:p w14:paraId="3952329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3.4.2 投标人不按本章第 3.4.1 项要求提交投标保证金的，其投标文件作废标处理。</w:t>
      </w:r>
    </w:p>
    <w:p w14:paraId="216AAF0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3.4.3 招标人</w:t>
      </w:r>
      <w:r>
        <w:rPr>
          <w:rFonts w:hint="eastAsia" w:ascii="Times New Roman" w:hAnsi="Times New Roman" w:eastAsia="方正仿宋_GBK" w:cs="Times New Roman"/>
          <w:kern w:val="0"/>
          <w:sz w:val="21"/>
          <w:szCs w:val="21"/>
        </w:rPr>
        <w:t>现场</w:t>
      </w:r>
      <w:r>
        <w:rPr>
          <w:rFonts w:ascii="Times New Roman" w:hAnsi="Times New Roman" w:eastAsia="方正仿宋_GBK" w:cs="Times New Roman"/>
          <w:kern w:val="0"/>
          <w:sz w:val="21"/>
          <w:szCs w:val="21"/>
        </w:rPr>
        <w:t>退还未列入中标候选人的投标保证金（不计息），招标人与中标人签订合同后10个工作日内，学院向其他中标候选人退还投标保证金（不计息）。</w:t>
      </w:r>
    </w:p>
    <w:p w14:paraId="14C89A6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3.4.4 有下列情形之一的，投标保证金将不予退还：</w:t>
      </w:r>
    </w:p>
    <w:p w14:paraId="6ED7F72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3.4.4.1 投标人在规定的投标有效期内撤销或修改其投标文件；</w:t>
      </w:r>
    </w:p>
    <w:p w14:paraId="6E313A3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3.4.4.2 中标人在中标通知书发出3日之内拒绝签订合同，其保证金将不予退还。</w:t>
      </w:r>
    </w:p>
    <w:p w14:paraId="7192CF27">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3.5 资格审查资料</w:t>
      </w:r>
    </w:p>
    <w:p w14:paraId="28220B8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3.5.1 本须知前附表1.4.1条要求的相关资料复印件（需要加盖公章）和投标文件格式要求的内容；</w:t>
      </w:r>
    </w:p>
    <w:p w14:paraId="3D20CD00">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97" w:name="_Toc531594756"/>
      <w:bookmarkStart w:id="98" w:name="_Toc325636604"/>
      <w:bookmarkStart w:id="99" w:name="_Toc317863446"/>
      <w:bookmarkStart w:id="100" w:name="_Toc7983"/>
      <w:bookmarkStart w:id="101" w:name="_Toc200513151"/>
      <w:bookmarkStart w:id="102" w:name="_Toc334774187"/>
      <w:r>
        <w:rPr>
          <w:rFonts w:ascii="Times New Roman" w:hAnsi="Times New Roman" w:eastAsia="方正仿宋_GBK" w:cs="Times New Roman"/>
          <w:b/>
          <w:kern w:val="0"/>
          <w:sz w:val="21"/>
          <w:szCs w:val="21"/>
        </w:rPr>
        <w:t>3.6 备选投标</w:t>
      </w:r>
      <w:r>
        <w:rPr>
          <w:rFonts w:hint="eastAsia" w:ascii="Times New Roman" w:hAnsi="Times New Roman" w:eastAsia="方正仿宋_GBK" w:cs="Times New Roman"/>
          <w:b/>
          <w:kern w:val="0"/>
          <w:sz w:val="21"/>
          <w:szCs w:val="21"/>
        </w:rPr>
        <w:t>方</w:t>
      </w:r>
      <w:r>
        <w:rPr>
          <w:rFonts w:ascii="Times New Roman" w:hAnsi="Times New Roman" w:eastAsia="方正仿宋_GBK" w:cs="Times New Roman"/>
          <w:b/>
          <w:kern w:val="0"/>
          <w:sz w:val="21"/>
          <w:szCs w:val="21"/>
        </w:rPr>
        <w:t>案</w:t>
      </w:r>
      <w:bookmarkEnd w:id="97"/>
      <w:bookmarkEnd w:id="98"/>
      <w:bookmarkEnd w:id="99"/>
      <w:bookmarkEnd w:id="100"/>
      <w:bookmarkEnd w:id="101"/>
      <w:bookmarkEnd w:id="102"/>
    </w:p>
    <w:p w14:paraId="2E65511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投标人不得递交备选投标</w:t>
      </w:r>
      <w:r>
        <w:rPr>
          <w:rFonts w:hint="eastAsia" w:ascii="Times New Roman" w:hAnsi="Times New Roman" w:eastAsia="方正仿宋_GBK" w:cs="Times New Roman"/>
          <w:kern w:val="0"/>
          <w:sz w:val="21"/>
          <w:szCs w:val="21"/>
        </w:rPr>
        <w:t>方</w:t>
      </w:r>
      <w:r>
        <w:rPr>
          <w:rFonts w:ascii="Times New Roman" w:hAnsi="Times New Roman" w:eastAsia="方正仿宋_GBK" w:cs="Times New Roman"/>
          <w:kern w:val="0"/>
          <w:sz w:val="21"/>
          <w:szCs w:val="21"/>
        </w:rPr>
        <w:t>案。</w:t>
      </w:r>
    </w:p>
    <w:p w14:paraId="7FE5B6C0">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03" w:name="_Toc334774188"/>
      <w:bookmarkStart w:id="104" w:name="_Toc317863447"/>
      <w:bookmarkStart w:id="105" w:name="_Toc531594757"/>
      <w:bookmarkStart w:id="106" w:name="_Toc325636605"/>
      <w:bookmarkStart w:id="107" w:name="_Toc21408"/>
      <w:bookmarkStart w:id="108" w:name="_Toc200513152"/>
      <w:r>
        <w:rPr>
          <w:rFonts w:ascii="Times New Roman" w:hAnsi="Times New Roman" w:eastAsia="方正仿宋_GBK" w:cs="Times New Roman"/>
          <w:b/>
          <w:kern w:val="0"/>
          <w:sz w:val="21"/>
          <w:szCs w:val="21"/>
        </w:rPr>
        <w:t>3.7 投标文件的编制</w:t>
      </w:r>
      <w:bookmarkEnd w:id="103"/>
      <w:bookmarkEnd w:id="104"/>
      <w:bookmarkEnd w:id="105"/>
      <w:bookmarkEnd w:id="106"/>
      <w:bookmarkEnd w:id="107"/>
      <w:bookmarkEnd w:id="108"/>
    </w:p>
    <w:p w14:paraId="2AA0CF3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76399D4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3.7.2 投标文件应当对招标文件有关工期、投标有效期、质量要求、技术标准和要求、招标范围等实质性内容做出响应。</w:t>
      </w:r>
    </w:p>
    <w:p w14:paraId="1B53D77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7A7E5B2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3.7.4 投标文件份数见投标须知前附表。</w:t>
      </w:r>
    </w:p>
    <w:p w14:paraId="5C7AEBD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3.7.5 投标文件的正本与副本应分别装订成册，并编制目录，具体装订要求见投标人须知前附表规定。</w:t>
      </w:r>
    </w:p>
    <w:p w14:paraId="72B64B7A">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bookmarkStart w:id="109" w:name="_Toc13793"/>
      <w:bookmarkStart w:id="110" w:name="_Toc531594758"/>
      <w:bookmarkStart w:id="111" w:name="_Toc200513153"/>
      <w:bookmarkStart w:id="112" w:name="_Toc334774189"/>
      <w:bookmarkStart w:id="113" w:name="_Toc317863448"/>
      <w:r>
        <w:rPr>
          <w:rFonts w:ascii="Times New Roman" w:hAnsi="Times New Roman" w:eastAsia="方正楷体_GBK" w:cs="Times New Roman"/>
          <w:b/>
          <w:w w:val="99"/>
          <w:kern w:val="0"/>
          <w:sz w:val="21"/>
          <w:szCs w:val="21"/>
          <w:lang w:val="zh-CN"/>
        </w:rPr>
        <w:t>4.投标</w:t>
      </w:r>
      <w:bookmarkEnd w:id="109"/>
      <w:bookmarkEnd w:id="110"/>
      <w:bookmarkEnd w:id="111"/>
      <w:bookmarkEnd w:id="112"/>
      <w:bookmarkEnd w:id="113"/>
    </w:p>
    <w:p w14:paraId="567A863F">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14" w:name="_Toc26003"/>
      <w:bookmarkStart w:id="115" w:name="_Toc200513154"/>
      <w:bookmarkStart w:id="116" w:name="_Toc531594759"/>
      <w:bookmarkStart w:id="117" w:name="_Toc334774190"/>
      <w:bookmarkStart w:id="118" w:name="_Toc317863449"/>
      <w:bookmarkStart w:id="119" w:name="_Toc325636607"/>
      <w:r>
        <w:rPr>
          <w:rFonts w:ascii="Times New Roman" w:hAnsi="Times New Roman" w:eastAsia="方正仿宋_GBK" w:cs="Times New Roman"/>
          <w:b/>
          <w:kern w:val="0"/>
          <w:sz w:val="21"/>
          <w:szCs w:val="21"/>
        </w:rPr>
        <w:t>4.1 投标文件的密封和标记</w:t>
      </w:r>
      <w:bookmarkEnd w:id="114"/>
      <w:bookmarkEnd w:id="115"/>
      <w:bookmarkEnd w:id="116"/>
      <w:bookmarkEnd w:id="117"/>
      <w:bookmarkEnd w:id="118"/>
      <w:bookmarkEnd w:id="119"/>
    </w:p>
    <w:p w14:paraId="357D13B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4.1.1 投标文件的密封见投标人须知前附表。</w:t>
      </w:r>
    </w:p>
    <w:p w14:paraId="1A699AB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4.1.2 投标文件的封套上应写明的内容见投标人须知前附表。</w:t>
      </w:r>
    </w:p>
    <w:p w14:paraId="6060118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4.1.3 未按要求密封和写标记的投标文件，将被拒绝受理。</w:t>
      </w:r>
    </w:p>
    <w:p w14:paraId="608E303A">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20" w:name="_Toc325636608"/>
      <w:bookmarkStart w:id="121" w:name="_Toc317863450"/>
      <w:bookmarkStart w:id="122" w:name="_Toc334774191"/>
      <w:bookmarkStart w:id="123" w:name="_Toc531594760"/>
      <w:bookmarkStart w:id="124" w:name="_Toc5004"/>
      <w:r>
        <w:rPr>
          <w:rFonts w:ascii="Times New Roman" w:hAnsi="Times New Roman" w:eastAsia="方正仿宋_GBK" w:cs="Times New Roman"/>
          <w:b/>
          <w:kern w:val="0"/>
          <w:sz w:val="21"/>
          <w:szCs w:val="21"/>
        </w:rPr>
        <w:t>4.2 投标文件的递交</w:t>
      </w:r>
      <w:bookmarkEnd w:id="120"/>
      <w:bookmarkEnd w:id="121"/>
      <w:bookmarkEnd w:id="122"/>
      <w:bookmarkEnd w:id="123"/>
      <w:bookmarkEnd w:id="124"/>
    </w:p>
    <w:p w14:paraId="49DD116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4.2.1 投标人应在本章前附表规定的投标截止时间前递交投标文件。</w:t>
      </w:r>
    </w:p>
    <w:p w14:paraId="40F0E78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4.2.2 投标人递交投标文件的地点：见投标人须知前附表。</w:t>
      </w:r>
    </w:p>
    <w:p w14:paraId="74EEAA0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4.2.3 除投标人须知前附表另有规定外，投标人所递交的投标文件不予退还。</w:t>
      </w:r>
    </w:p>
    <w:p w14:paraId="02FD26F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4.2.4 招标人收到投标文件后，向投标人出具签收凭证。</w:t>
      </w:r>
    </w:p>
    <w:p w14:paraId="44CD489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4.2.5 逾期送达的或者未送达指定地点的投标文件，招标人不予受理。</w:t>
      </w:r>
    </w:p>
    <w:p w14:paraId="1267C2A6">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25" w:name="_Toc325636609"/>
      <w:bookmarkStart w:id="126" w:name="_Toc200513156"/>
      <w:bookmarkStart w:id="127" w:name="_Toc317863451"/>
      <w:bookmarkStart w:id="128" w:name="_Toc334774192"/>
      <w:bookmarkStart w:id="129" w:name="_Toc20769"/>
      <w:bookmarkStart w:id="130" w:name="_Toc531594761"/>
      <w:r>
        <w:rPr>
          <w:rFonts w:ascii="Times New Roman" w:hAnsi="Times New Roman" w:eastAsia="方正仿宋_GBK" w:cs="Times New Roman"/>
          <w:b/>
          <w:kern w:val="0"/>
          <w:sz w:val="21"/>
          <w:szCs w:val="21"/>
        </w:rPr>
        <w:t>4.3 投标文件的修改与撤回</w:t>
      </w:r>
      <w:bookmarkEnd w:id="125"/>
      <w:bookmarkEnd w:id="126"/>
      <w:bookmarkEnd w:id="127"/>
      <w:bookmarkEnd w:id="128"/>
      <w:bookmarkEnd w:id="129"/>
      <w:bookmarkEnd w:id="130"/>
    </w:p>
    <w:p w14:paraId="31A31E5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4.3.1 在本章第4.2.1项规定的投标截止时间前，投标人可以修改或撤回已递交的投标文件，但应以书面形式通知招标人。</w:t>
      </w:r>
    </w:p>
    <w:p w14:paraId="59CFC6B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4.3.2 投标人修改或撤回已递交投标文件的书面通知应按照本章第3.7.3项的要求签字或盖章。招标人收到书面通知后，向投标人出具签收凭证。</w:t>
      </w:r>
    </w:p>
    <w:p w14:paraId="130870B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4.3.3 修改的内容为投标文件的组成部分。修改的投标文件应按照本章第3条、第4条规定进行编制、密封、标记和递交，并标明“修改”字样。</w:t>
      </w:r>
    </w:p>
    <w:p w14:paraId="45D9FD51">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bookmarkStart w:id="131" w:name="_Toc200513157"/>
      <w:bookmarkStart w:id="132" w:name="_Toc334774193"/>
      <w:bookmarkStart w:id="133" w:name="_Toc1489"/>
      <w:bookmarkStart w:id="134" w:name="_Toc317863452"/>
      <w:bookmarkStart w:id="135" w:name="_Toc531594762"/>
      <w:r>
        <w:rPr>
          <w:rFonts w:ascii="Times New Roman" w:hAnsi="Times New Roman" w:eastAsia="方正楷体_GBK" w:cs="Times New Roman"/>
          <w:b/>
          <w:w w:val="99"/>
          <w:kern w:val="0"/>
          <w:sz w:val="21"/>
          <w:szCs w:val="21"/>
          <w:lang w:val="zh-CN"/>
        </w:rPr>
        <w:t>5.开标</w:t>
      </w:r>
      <w:bookmarkEnd w:id="131"/>
      <w:bookmarkEnd w:id="132"/>
      <w:bookmarkEnd w:id="133"/>
      <w:bookmarkEnd w:id="134"/>
      <w:r>
        <w:rPr>
          <w:rFonts w:ascii="Times New Roman" w:hAnsi="Times New Roman" w:eastAsia="方正楷体_GBK" w:cs="Times New Roman"/>
          <w:b/>
          <w:w w:val="99"/>
          <w:kern w:val="0"/>
          <w:sz w:val="21"/>
          <w:szCs w:val="21"/>
          <w:lang w:val="zh-CN"/>
        </w:rPr>
        <w:t>时间及地点</w:t>
      </w:r>
      <w:bookmarkEnd w:id="135"/>
    </w:p>
    <w:p w14:paraId="56D7F38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bookmarkStart w:id="136" w:name="_Toc531594763"/>
      <w:r>
        <w:rPr>
          <w:rFonts w:ascii="Times New Roman" w:hAnsi="Times New Roman" w:eastAsia="方正仿宋_GBK" w:cs="Times New Roman"/>
          <w:kern w:val="0"/>
          <w:sz w:val="21"/>
          <w:szCs w:val="21"/>
        </w:rPr>
        <w:t>开标时间及地点见投标人</w:t>
      </w:r>
      <w:r>
        <w:rPr>
          <w:rFonts w:hint="eastAsia" w:ascii="Times New Roman" w:hAnsi="Times New Roman" w:eastAsia="方正仿宋_GBK" w:cs="Times New Roman"/>
          <w:kern w:val="0"/>
          <w:sz w:val="21"/>
          <w:szCs w:val="21"/>
        </w:rPr>
        <w:t>须</w:t>
      </w:r>
      <w:r>
        <w:rPr>
          <w:rFonts w:ascii="Times New Roman" w:hAnsi="Times New Roman" w:eastAsia="方正仿宋_GBK" w:cs="Times New Roman"/>
          <w:kern w:val="0"/>
          <w:sz w:val="21"/>
          <w:szCs w:val="21"/>
        </w:rPr>
        <w:t>知前附表</w:t>
      </w:r>
      <w:bookmarkEnd w:id="136"/>
    </w:p>
    <w:p w14:paraId="35A6597C">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bookmarkStart w:id="137" w:name="_Toc531594764"/>
      <w:r>
        <w:rPr>
          <w:rFonts w:ascii="Times New Roman" w:hAnsi="Times New Roman" w:eastAsia="方正楷体_GBK" w:cs="Times New Roman"/>
          <w:b/>
          <w:w w:val="99"/>
          <w:kern w:val="0"/>
          <w:sz w:val="21"/>
          <w:szCs w:val="21"/>
          <w:lang w:val="zh-CN"/>
        </w:rPr>
        <w:t>6.评标</w:t>
      </w:r>
      <w:bookmarkEnd w:id="137"/>
    </w:p>
    <w:p w14:paraId="49C3C2E9">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38" w:name="_Toc531594765"/>
      <w:bookmarkStart w:id="139" w:name="_Toc334774197"/>
      <w:bookmarkStart w:id="140" w:name="_Toc325636614"/>
      <w:bookmarkStart w:id="141" w:name="_Toc16186"/>
      <w:bookmarkStart w:id="142" w:name="_Toc200513161"/>
      <w:bookmarkStart w:id="143" w:name="_Toc317863456"/>
      <w:r>
        <w:rPr>
          <w:rFonts w:ascii="Times New Roman" w:hAnsi="Times New Roman" w:eastAsia="方正仿宋_GBK" w:cs="Times New Roman"/>
          <w:b/>
          <w:kern w:val="0"/>
          <w:sz w:val="21"/>
          <w:szCs w:val="21"/>
        </w:rPr>
        <w:t>6.1 评标委员会</w:t>
      </w:r>
      <w:bookmarkEnd w:id="138"/>
      <w:bookmarkEnd w:id="139"/>
      <w:bookmarkEnd w:id="140"/>
      <w:bookmarkEnd w:id="141"/>
      <w:bookmarkEnd w:id="142"/>
      <w:bookmarkEnd w:id="143"/>
    </w:p>
    <w:p w14:paraId="76194ED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6.1.1 评标由招标人依法组建的评标委员会负责。评标委员会成员的确定方式见投标人须知前附表。</w:t>
      </w:r>
    </w:p>
    <w:p w14:paraId="43F1908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 评标委员会成员有下列情形之一的，应当回避：</w:t>
      </w:r>
    </w:p>
    <w:p w14:paraId="2542546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6.1.2.1 招标人或投标人的主要负责人的近亲属；</w:t>
      </w:r>
    </w:p>
    <w:p w14:paraId="7CACA03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6.1.2.2 项目主管部门或者行政监督部门的人员；</w:t>
      </w:r>
    </w:p>
    <w:p w14:paraId="058B9C6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6.1.2.3 与投标人有经济利益关系，可能影响对投标公正评审的；</w:t>
      </w:r>
    </w:p>
    <w:p w14:paraId="57FAD77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6.1.2.4 曾因在招标、评标以及其他与招标投标有关活动中从事违法行为而受过行政处罚或刑事处罚的。</w:t>
      </w:r>
    </w:p>
    <w:p w14:paraId="4D2963E6">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44" w:name="_Toc325636615"/>
      <w:bookmarkStart w:id="145" w:name="_Toc531594766"/>
      <w:bookmarkStart w:id="146" w:name="_Toc200513162"/>
      <w:bookmarkStart w:id="147" w:name="_Toc334774198"/>
      <w:bookmarkStart w:id="148" w:name="_Toc18631"/>
      <w:bookmarkStart w:id="149" w:name="_Toc317863457"/>
      <w:r>
        <w:rPr>
          <w:rFonts w:ascii="Times New Roman" w:hAnsi="Times New Roman" w:eastAsia="方正仿宋_GBK" w:cs="Times New Roman"/>
          <w:b/>
          <w:kern w:val="0"/>
          <w:sz w:val="21"/>
          <w:szCs w:val="21"/>
        </w:rPr>
        <w:t>6.2 评标原则</w:t>
      </w:r>
      <w:bookmarkEnd w:id="144"/>
      <w:bookmarkEnd w:id="145"/>
      <w:bookmarkEnd w:id="146"/>
      <w:bookmarkEnd w:id="147"/>
      <w:bookmarkEnd w:id="148"/>
      <w:bookmarkEnd w:id="149"/>
    </w:p>
    <w:p w14:paraId="4F45816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见招标文件第四章</w:t>
      </w:r>
      <w:r>
        <w:rPr>
          <w:rFonts w:ascii="Times New Roman" w:hAnsi="Times New Roman" w:eastAsia="方正仿宋_GBK" w:cs="Times New Roman"/>
          <w:kern w:val="0"/>
          <w:sz w:val="21"/>
          <w:szCs w:val="21"/>
        </w:rPr>
        <w:t>；</w:t>
      </w:r>
    </w:p>
    <w:p w14:paraId="0027B08B">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6.3 评标</w:t>
      </w:r>
    </w:p>
    <w:p w14:paraId="0DAC6E3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评标委员会按照第四章“评标原则”规定的方法、评审因素、标准和程序对投标文件进行评审。</w:t>
      </w:r>
    </w:p>
    <w:p w14:paraId="2B0DADF2">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bookmarkStart w:id="150" w:name="_Toc531594767"/>
      <w:bookmarkStart w:id="151" w:name="_Toc317863459"/>
      <w:bookmarkStart w:id="152" w:name="_Toc5106"/>
      <w:bookmarkStart w:id="153" w:name="_Toc334774200"/>
      <w:r>
        <w:rPr>
          <w:rFonts w:ascii="Times New Roman" w:hAnsi="Times New Roman" w:eastAsia="方正楷体_GBK" w:cs="Times New Roman"/>
          <w:b/>
          <w:w w:val="99"/>
          <w:kern w:val="0"/>
          <w:sz w:val="21"/>
          <w:szCs w:val="21"/>
          <w:lang w:val="zh-CN"/>
        </w:rPr>
        <w:t>7.合同授予</w:t>
      </w:r>
      <w:bookmarkEnd w:id="150"/>
      <w:bookmarkEnd w:id="151"/>
      <w:bookmarkEnd w:id="152"/>
      <w:bookmarkEnd w:id="153"/>
    </w:p>
    <w:p w14:paraId="46D6DCF5">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54" w:name="_Toc325636618"/>
      <w:bookmarkStart w:id="155" w:name="_Toc531594768"/>
      <w:bookmarkStart w:id="156" w:name="_Toc317863460"/>
      <w:bookmarkStart w:id="157" w:name="_Toc22299"/>
      <w:bookmarkStart w:id="158" w:name="_Toc334774201"/>
      <w:bookmarkStart w:id="159" w:name="_Toc200513165"/>
      <w:r>
        <w:rPr>
          <w:rFonts w:ascii="Times New Roman" w:hAnsi="Times New Roman" w:eastAsia="方正仿宋_GBK" w:cs="Times New Roman"/>
          <w:b/>
          <w:kern w:val="0"/>
          <w:sz w:val="21"/>
          <w:szCs w:val="21"/>
        </w:rPr>
        <w:t>7.1 定标方式</w:t>
      </w:r>
      <w:bookmarkEnd w:id="154"/>
      <w:bookmarkEnd w:id="155"/>
      <w:bookmarkEnd w:id="156"/>
      <w:bookmarkEnd w:id="157"/>
      <w:bookmarkEnd w:id="158"/>
      <w:bookmarkEnd w:id="159"/>
    </w:p>
    <w:p w14:paraId="3BE7905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除投标人须知前附表规定评标委员会直接确定中标人外，招标人依据评标委员会推荐的中标候选人确定中标人，评标委员会推荐中标候选人的人数见投标人须知前附表。</w:t>
      </w:r>
    </w:p>
    <w:p w14:paraId="3D989A84">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60" w:name="_Toc325636619"/>
      <w:bookmarkStart w:id="161" w:name="_Toc200513166"/>
      <w:bookmarkStart w:id="162" w:name="_Toc334774202"/>
      <w:bookmarkStart w:id="163" w:name="_Toc317863461"/>
      <w:bookmarkStart w:id="164" w:name="_Toc531594769"/>
      <w:bookmarkStart w:id="165" w:name="_Toc19729"/>
      <w:r>
        <w:rPr>
          <w:rFonts w:ascii="Times New Roman" w:hAnsi="Times New Roman" w:eastAsia="方正仿宋_GBK" w:cs="Times New Roman"/>
          <w:b/>
          <w:kern w:val="0"/>
          <w:sz w:val="21"/>
          <w:szCs w:val="21"/>
        </w:rPr>
        <w:t>7.2 中标通知</w:t>
      </w:r>
      <w:bookmarkEnd w:id="160"/>
      <w:bookmarkEnd w:id="161"/>
      <w:bookmarkEnd w:id="162"/>
      <w:bookmarkEnd w:id="163"/>
      <w:bookmarkEnd w:id="164"/>
      <w:bookmarkEnd w:id="165"/>
    </w:p>
    <w:p w14:paraId="226C960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在本章第 3.3 款规定的投标有效期内，招标人以</w:t>
      </w:r>
      <w:r>
        <w:rPr>
          <w:rFonts w:hint="eastAsia" w:ascii="Times New Roman" w:hAnsi="Times New Roman" w:eastAsia="方正仿宋_GBK" w:cs="Times New Roman"/>
          <w:kern w:val="0"/>
          <w:sz w:val="21"/>
          <w:szCs w:val="21"/>
        </w:rPr>
        <w:t>书面</w:t>
      </w:r>
      <w:r>
        <w:rPr>
          <w:rFonts w:ascii="Times New Roman" w:hAnsi="Times New Roman" w:eastAsia="方正仿宋_GBK" w:cs="Times New Roman"/>
          <w:kern w:val="0"/>
          <w:sz w:val="21"/>
          <w:szCs w:val="21"/>
        </w:rPr>
        <w:t>的形式向中标人发出中标通知书。</w:t>
      </w:r>
    </w:p>
    <w:p w14:paraId="3AC4E08A">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66" w:name="_Toc9808"/>
      <w:bookmarkStart w:id="167" w:name="_Toc334774203"/>
      <w:bookmarkStart w:id="168" w:name="_Toc317863463"/>
      <w:bookmarkStart w:id="169" w:name="_Toc531594770"/>
      <w:bookmarkStart w:id="170" w:name="_Toc325636621"/>
      <w:r>
        <w:rPr>
          <w:rFonts w:ascii="Times New Roman" w:hAnsi="Times New Roman" w:eastAsia="方正仿宋_GBK" w:cs="Times New Roman"/>
          <w:b/>
          <w:kern w:val="0"/>
          <w:sz w:val="21"/>
          <w:szCs w:val="21"/>
        </w:rPr>
        <w:t>7.3 签订合同</w:t>
      </w:r>
      <w:bookmarkEnd w:id="166"/>
      <w:bookmarkEnd w:id="167"/>
      <w:bookmarkEnd w:id="168"/>
      <w:bookmarkEnd w:id="169"/>
      <w:bookmarkEnd w:id="170"/>
    </w:p>
    <w:p w14:paraId="2DE6DEF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D051CA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7.3.2 发出中标通知书后，招标人无正当理由拒签合同的，招标人向中标人退还投标保证金；给中标人造成损失的，还应当赔偿损失。</w:t>
      </w:r>
    </w:p>
    <w:p w14:paraId="1828E18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7.3.3 投标人中标后又提出对招标文件中各项条款的不实质性响应，经双方协商，在7.3.1条规定的时间内不能达成一致意见的，招标人有权取消其中标资格，并没收其投标保证金。</w:t>
      </w:r>
    </w:p>
    <w:p w14:paraId="735FB32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7.3.4 签订合同后，</w:t>
      </w:r>
      <w:r>
        <w:rPr>
          <w:rFonts w:hint="eastAsia" w:ascii="Times New Roman" w:hAnsi="Times New Roman" w:eastAsia="方正仿宋_GBK" w:cs="Times New Roman"/>
          <w:kern w:val="0"/>
          <w:sz w:val="21"/>
          <w:szCs w:val="21"/>
        </w:rPr>
        <w:t>中标人</w:t>
      </w:r>
      <w:r>
        <w:rPr>
          <w:rFonts w:ascii="Times New Roman" w:hAnsi="Times New Roman" w:eastAsia="方正仿宋_GBK" w:cs="Times New Roman"/>
          <w:kern w:val="0"/>
          <w:sz w:val="21"/>
          <w:szCs w:val="21"/>
        </w:rPr>
        <w:t>放弃</w:t>
      </w:r>
      <w:r>
        <w:rPr>
          <w:rFonts w:hint="eastAsia" w:ascii="Times New Roman" w:hAnsi="Times New Roman" w:eastAsia="方正仿宋_GBK" w:cs="Times New Roman"/>
          <w:kern w:val="0"/>
          <w:sz w:val="21"/>
          <w:szCs w:val="21"/>
        </w:rPr>
        <w:t>中标</w:t>
      </w:r>
      <w:r>
        <w:rPr>
          <w:rFonts w:ascii="Times New Roman" w:hAnsi="Times New Roman" w:eastAsia="方正仿宋_GBK" w:cs="Times New Roman"/>
          <w:kern w:val="0"/>
          <w:sz w:val="21"/>
          <w:szCs w:val="21"/>
        </w:rPr>
        <w:t>权或因自身原因（如资金不保证，设备、机具、劳动力等资源不保证,无法提交履约担保等等）不能履行合同，</w:t>
      </w:r>
      <w:r>
        <w:rPr>
          <w:rFonts w:hint="eastAsia" w:ascii="Times New Roman" w:hAnsi="Times New Roman" w:eastAsia="方正仿宋_GBK" w:cs="Times New Roman"/>
          <w:kern w:val="0"/>
          <w:sz w:val="21"/>
          <w:szCs w:val="21"/>
        </w:rPr>
        <w:t>招标</w:t>
      </w:r>
      <w:r>
        <w:rPr>
          <w:rFonts w:ascii="Times New Roman" w:hAnsi="Times New Roman" w:eastAsia="方正仿宋_GBK" w:cs="Times New Roman"/>
          <w:kern w:val="0"/>
          <w:sz w:val="21"/>
          <w:szCs w:val="21"/>
        </w:rPr>
        <w:t>人有权终止合同，并没收其投标保证金及履约保证金。</w:t>
      </w:r>
    </w:p>
    <w:p w14:paraId="0A819402">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bookmarkStart w:id="171" w:name="_Toc15584"/>
      <w:bookmarkStart w:id="172" w:name="_Toc531594771"/>
      <w:bookmarkStart w:id="173" w:name="_Toc334774204"/>
      <w:bookmarkStart w:id="174" w:name="_Toc317863464"/>
      <w:bookmarkStart w:id="175" w:name="_Toc11895"/>
      <w:bookmarkStart w:id="176" w:name="_Toc200513172"/>
      <w:bookmarkStart w:id="177" w:name="_Toc334774207"/>
      <w:bookmarkStart w:id="178" w:name="_Toc531594773"/>
      <w:bookmarkStart w:id="179" w:name="_Toc317863467"/>
      <w:r>
        <w:rPr>
          <w:rFonts w:ascii="Times New Roman" w:hAnsi="Times New Roman" w:eastAsia="方正楷体_GBK" w:cs="Times New Roman"/>
          <w:b/>
          <w:w w:val="99"/>
          <w:kern w:val="0"/>
          <w:sz w:val="21"/>
          <w:szCs w:val="21"/>
          <w:lang w:val="zh-CN"/>
        </w:rPr>
        <w:t>8.重新招标和不再招标</w:t>
      </w:r>
      <w:bookmarkEnd w:id="171"/>
      <w:bookmarkEnd w:id="172"/>
      <w:bookmarkEnd w:id="173"/>
      <w:bookmarkEnd w:id="174"/>
    </w:p>
    <w:p w14:paraId="628D085B">
      <w:pPr>
        <w:autoSpaceDE w:val="0"/>
        <w:autoSpaceDN w:val="0"/>
        <w:adjustRightInd w:val="0"/>
        <w:snapToGrid w:val="0"/>
        <w:spacing w:line="240" w:lineRule="exact"/>
        <w:ind w:firstLine="422" w:firstLineChars="200"/>
        <w:jc w:val="left"/>
        <w:outlineLvl w:val="1"/>
        <w:rPr>
          <w:rFonts w:ascii="Times New Roman" w:hAnsi="Times New Roman" w:eastAsia="方正仿宋_GBK" w:cs="Times New Roman"/>
          <w:b/>
          <w:kern w:val="0"/>
          <w:sz w:val="21"/>
          <w:szCs w:val="21"/>
        </w:rPr>
      </w:pPr>
      <w:r>
        <w:rPr>
          <w:rFonts w:hint="eastAsia" w:ascii="Times New Roman" w:hAnsi="Times New Roman" w:eastAsia="方正仿宋_GBK" w:cs="Times New Roman"/>
          <w:b/>
          <w:kern w:val="0"/>
          <w:sz w:val="21"/>
          <w:szCs w:val="21"/>
        </w:rPr>
        <w:t>8.1 重新招标</w:t>
      </w:r>
    </w:p>
    <w:p w14:paraId="2EB03422">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Cs/>
          <w:kern w:val="0"/>
          <w:sz w:val="21"/>
          <w:szCs w:val="21"/>
        </w:rPr>
      </w:pPr>
      <w:r>
        <w:rPr>
          <w:rFonts w:hint="eastAsia" w:ascii="Times New Roman" w:hAnsi="Times New Roman" w:eastAsia="方正仿宋_GBK" w:cs="Times New Roman"/>
          <w:bCs/>
          <w:kern w:val="0"/>
          <w:sz w:val="21"/>
          <w:szCs w:val="21"/>
        </w:rPr>
        <w:t>有下列情形之一的，招标人将重新招标</w:t>
      </w:r>
    </w:p>
    <w:p w14:paraId="03C72344">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Cs/>
          <w:kern w:val="0"/>
          <w:sz w:val="21"/>
          <w:szCs w:val="21"/>
        </w:rPr>
      </w:pPr>
      <w:r>
        <w:rPr>
          <w:rFonts w:hint="eastAsia" w:ascii="Times New Roman" w:hAnsi="Times New Roman" w:eastAsia="方正仿宋_GBK" w:cs="Times New Roman"/>
          <w:bCs/>
          <w:kern w:val="0"/>
          <w:sz w:val="21"/>
          <w:szCs w:val="21"/>
        </w:rPr>
        <w:t>（1）投标截止时间止，投标人少于三个的；</w:t>
      </w:r>
    </w:p>
    <w:p w14:paraId="38383F94">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Cs/>
          <w:kern w:val="0"/>
          <w:sz w:val="21"/>
          <w:szCs w:val="21"/>
        </w:rPr>
      </w:pPr>
      <w:r>
        <w:rPr>
          <w:rFonts w:hint="eastAsia" w:ascii="Times New Roman" w:hAnsi="Times New Roman" w:eastAsia="方正仿宋_GBK" w:cs="Times New Roman"/>
          <w:bCs/>
          <w:kern w:val="0"/>
          <w:sz w:val="21"/>
          <w:szCs w:val="21"/>
        </w:rPr>
        <w:t>（2）评标后合格的投标人少于三个的。</w:t>
      </w:r>
    </w:p>
    <w:p w14:paraId="61D0E3A7">
      <w:pPr>
        <w:autoSpaceDE w:val="0"/>
        <w:autoSpaceDN w:val="0"/>
        <w:adjustRightInd w:val="0"/>
        <w:snapToGrid w:val="0"/>
        <w:spacing w:line="240" w:lineRule="exact"/>
        <w:ind w:firstLine="422" w:firstLineChars="200"/>
        <w:jc w:val="left"/>
        <w:outlineLvl w:val="1"/>
        <w:rPr>
          <w:rFonts w:ascii="Times New Roman" w:hAnsi="Times New Roman" w:eastAsia="方正仿宋_GBK" w:cs="Times New Roman"/>
          <w:b/>
          <w:kern w:val="0"/>
          <w:sz w:val="21"/>
          <w:szCs w:val="21"/>
        </w:rPr>
      </w:pPr>
      <w:r>
        <w:rPr>
          <w:rFonts w:hint="eastAsia" w:ascii="Times New Roman" w:hAnsi="Times New Roman" w:eastAsia="方正仿宋_GBK" w:cs="Times New Roman"/>
          <w:b/>
          <w:kern w:val="0"/>
          <w:sz w:val="21"/>
          <w:szCs w:val="21"/>
        </w:rPr>
        <w:t>8.2 不再招标</w:t>
      </w:r>
    </w:p>
    <w:p w14:paraId="0C0D940D">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Cs/>
          <w:kern w:val="0"/>
          <w:sz w:val="21"/>
          <w:szCs w:val="21"/>
        </w:rPr>
      </w:pPr>
      <w:r>
        <w:rPr>
          <w:rFonts w:hint="eastAsia" w:ascii="Times New Roman" w:hAnsi="Times New Roman" w:eastAsia="方正仿宋_GBK" w:cs="Times New Roman"/>
          <w:bCs/>
          <w:kern w:val="0"/>
          <w:sz w:val="21"/>
          <w:szCs w:val="21"/>
        </w:rPr>
        <w:t>若调整采购需求重新招标仍然失败的，可以采用竞争性谈判或单一来源的方式执行本项目。</w:t>
      </w:r>
    </w:p>
    <w:p w14:paraId="77A44DBE">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r>
        <w:rPr>
          <w:rFonts w:ascii="Times New Roman" w:hAnsi="Times New Roman" w:eastAsia="方正楷体_GBK" w:cs="Times New Roman"/>
          <w:b/>
          <w:w w:val="99"/>
          <w:kern w:val="0"/>
          <w:sz w:val="21"/>
          <w:szCs w:val="21"/>
          <w:lang w:val="zh-CN"/>
        </w:rPr>
        <w:t>9.纪律和监督</w:t>
      </w:r>
      <w:bookmarkEnd w:id="175"/>
      <w:bookmarkEnd w:id="176"/>
      <w:bookmarkEnd w:id="177"/>
      <w:bookmarkEnd w:id="178"/>
      <w:bookmarkEnd w:id="179"/>
    </w:p>
    <w:p w14:paraId="75476C01">
      <w:pPr>
        <w:autoSpaceDE w:val="0"/>
        <w:autoSpaceDN w:val="0"/>
        <w:adjustRightInd w:val="0"/>
        <w:snapToGrid w:val="0"/>
        <w:spacing w:line="240" w:lineRule="exact"/>
        <w:ind w:firstLine="422" w:firstLineChars="200"/>
        <w:jc w:val="left"/>
        <w:outlineLvl w:val="1"/>
        <w:rPr>
          <w:rFonts w:ascii="Times New Roman" w:hAnsi="Times New Roman" w:eastAsia="方正仿宋_GBK" w:cs="Times New Roman"/>
          <w:b/>
          <w:kern w:val="0"/>
          <w:sz w:val="21"/>
          <w:szCs w:val="21"/>
        </w:rPr>
      </w:pPr>
      <w:bookmarkStart w:id="180" w:name="_Toc200513173"/>
      <w:bookmarkStart w:id="181" w:name="_Toc531594774"/>
      <w:bookmarkStart w:id="182" w:name="_Toc1463"/>
      <w:bookmarkStart w:id="183" w:name="_Toc317863468"/>
      <w:bookmarkStart w:id="184" w:name="_Toc334774208"/>
      <w:bookmarkStart w:id="185" w:name="_Toc325636626"/>
      <w:r>
        <w:rPr>
          <w:rFonts w:ascii="Times New Roman" w:hAnsi="Times New Roman" w:eastAsia="方正仿宋_GBK" w:cs="Times New Roman"/>
          <w:b/>
          <w:kern w:val="0"/>
          <w:sz w:val="21"/>
          <w:szCs w:val="21"/>
        </w:rPr>
        <w:t>9.1 对招标人的纪律要求</w:t>
      </w:r>
      <w:bookmarkEnd w:id="180"/>
      <w:bookmarkEnd w:id="181"/>
      <w:bookmarkEnd w:id="182"/>
      <w:bookmarkEnd w:id="183"/>
      <w:bookmarkEnd w:id="184"/>
      <w:bookmarkEnd w:id="185"/>
    </w:p>
    <w:p w14:paraId="5007577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招标人不得泄漏招标投标活动中应当保密的情况和资料，不得与投标人串通损害国家利益、社会公共利益或者他人合法权益。</w:t>
      </w:r>
    </w:p>
    <w:p w14:paraId="44B3B990">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86" w:name="_Toc200513174"/>
      <w:bookmarkStart w:id="187" w:name="_Toc270"/>
      <w:bookmarkStart w:id="188" w:name="_Toc531594775"/>
      <w:bookmarkStart w:id="189" w:name="_Toc317863469"/>
      <w:bookmarkStart w:id="190" w:name="_Toc334774209"/>
      <w:bookmarkStart w:id="191" w:name="_Toc325636627"/>
      <w:r>
        <w:rPr>
          <w:rFonts w:ascii="Times New Roman" w:hAnsi="Times New Roman" w:eastAsia="方正仿宋_GBK" w:cs="Times New Roman"/>
          <w:b/>
          <w:kern w:val="0"/>
          <w:sz w:val="21"/>
          <w:szCs w:val="21"/>
        </w:rPr>
        <w:t>9.2 对投标人的纪律要求</w:t>
      </w:r>
      <w:bookmarkEnd w:id="186"/>
      <w:bookmarkEnd w:id="187"/>
      <w:bookmarkEnd w:id="188"/>
      <w:bookmarkEnd w:id="189"/>
      <w:bookmarkEnd w:id="190"/>
      <w:bookmarkEnd w:id="191"/>
    </w:p>
    <w:p w14:paraId="3DE2A5C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AFE7C50">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92" w:name="_Toc531594776"/>
      <w:bookmarkStart w:id="193" w:name="_Toc325636628"/>
      <w:bookmarkStart w:id="194" w:name="_Toc200513175"/>
      <w:bookmarkStart w:id="195" w:name="_Toc334774210"/>
      <w:bookmarkStart w:id="196" w:name="_Toc317863470"/>
      <w:bookmarkStart w:id="197" w:name="_Toc23543"/>
      <w:r>
        <w:rPr>
          <w:rFonts w:ascii="Times New Roman" w:hAnsi="Times New Roman" w:eastAsia="方正仿宋_GBK" w:cs="Times New Roman"/>
          <w:b/>
          <w:kern w:val="0"/>
          <w:sz w:val="21"/>
          <w:szCs w:val="21"/>
        </w:rPr>
        <w:t>9.3 对评标委员会成员的纪律要求</w:t>
      </w:r>
      <w:bookmarkEnd w:id="192"/>
      <w:bookmarkEnd w:id="193"/>
      <w:bookmarkEnd w:id="194"/>
      <w:bookmarkEnd w:id="195"/>
      <w:bookmarkEnd w:id="196"/>
      <w:bookmarkEnd w:id="197"/>
    </w:p>
    <w:p w14:paraId="4FF3EBA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5BA4DA75">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198" w:name="_Toc18783"/>
      <w:bookmarkStart w:id="199" w:name="_Toc325636629"/>
      <w:bookmarkStart w:id="200" w:name="_Toc13285"/>
      <w:bookmarkStart w:id="201" w:name="_Toc200513176"/>
      <w:bookmarkStart w:id="202" w:name="_Toc317863471"/>
      <w:bookmarkStart w:id="203" w:name="_Toc334774211"/>
      <w:bookmarkStart w:id="204" w:name="_Toc531594777"/>
      <w:r>
        <w:rPr>
          <w:rFonts w:ascii="Times New Roman" w:hAnsi="Times New Roman" w:eastAsia="方正仿宋_GBK" w:cs="Times New Roman"/>
          <w:b/>
          <w:kern w:val="0"/>
          <w:sz w:val="21"/>
          <w:szCs w:val="21"/>
        </w:rPr>
        <w:t>9.4 对与评标活动有关的工作人员的纪律要求</w:t>
      </w:r>
      <w:bookmarkEnd w:id="198"/>
      <w:bookmarkEnd w:id="199"/>
      <w:bookmarkEnd w:id="200"/>
      <w:bookmarkEnd w:id="201"/>
      <w:bookmarkEnd w:id="202"/>
      <w:bookmarkEnd w:id="203"/>
      <w:bookmarkEnd w:id="204"/>
    </w:p>
    <w:p w14:paraId="5E5DA47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97AC9D6">
      <w:pPr>
        <w:autoSpaceDE w:val="0"/>
        <w:autoSpaceDN w:val="0"/>
        <w:adjustRightInd w:val="0"/>
        <w:snapToGrid w:val="0"/>
        <w:spacing w:line="240" w:lineRule="exact"/>
        <w:ind w:firstLine="422" w:firstLineChars="200"/>
        <w:jc w:val="left"/>
        <w:outlineLvl w:val="2"/>
        <w:rPr>
          <w:rFonts w:ascii="Times New Roman" w:hAnsi="Times New Roman" w:eastAsia="方正仿宋_GBK" w:cs="Times New Roman"/>
          <w:b/>
          <w:kern w:val="0"/>
          <w:sz w:val="21"/>
          <w:szCs w:val="21"/>
        </w:rPr>
      </w:pPr>
      <w:bookmarkStart w:id="205" w:name="_Toc334774212"/>
      <w:bookmarkStart w:id="206" w:name="_Toc325636630"/>
      <w:bookmarkStart w:id="207" w:name="_Toc317863472"/>
      <w:bookmarkStart w:id="208" w:name="_Toc531594778"/>
      <w:bookmarkStart w:id="209" w:name="_Toc17360"/>
      <w:bookmarkStart w:id="210" w:name="_Toc200513177"/>
      <w:bookmarkStart w:id="211" w:name="_Toc13124"/>
      <w:r>
        <w:rPr>
          <w:rFonts w:ascii="Times New Roman" w:hAnsi="Times New Roman" w:eastAsia="方正仿宋_GBK" w:cs="Times New Roman"/>
          <w:b/>
          <w:kern w:val="0"/>
          <w:sz w:val="21"/>
          <w:szCs w:val="21"/>
        </w:rPr>
        <w:t>9.5 投诉</w:t>
      </w:r>
      <w:bookmarkEnd w:id="205"/>
      <w:bookmarkEnd w:id="206"/>
      <w:bookmarkEnd w:id="207"/>
      <w:bookmarkEnd w:id="208"/>
      <w:bookmarkEnd w:id="209"/>
      <w:bookmarkEnd w:id="210"/>
      <w:bookmarkEnd w:id="211"/>
    </w:p>
    <w:p w14:paraId="069DEC7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投标人和其他利害关系人认为本次招标活动违反法律、法规和规章规定的，有权向学院有关行政监督部门投诉。</w:t>
      </w:r>
    </w:p>
    <w:p w14:paraId="73853CE9">
      <w:pPr>
        <w:autoSpaceDE w:val="0"/>
        <w:autoSpaceDN w:val="0"/>
        <w:adjustRightInd w:val="0"/>
        <w:snapToGrid w:val="0"/>
        <w:spacing w:line="240" w:lineRule="exact"/>
        <w:ind w:firstLine="416" w:firstLineChars="200"/>
        <w:jc w:val="left"/>
        <w:outlineLvl w:val="1"/>
        <w:rPr>
          <w:rFonts w:ascii="Times New Roman" w:hAnsi="Times New Roman" w:eastAsia="方正楷体_GBK" w:cs="Times New Roman"/>
          <w:b/>
          <w:w w:val="99"/>
          <w:kern w:val="0"/>
          <w:sz w:val="21"/>
          <w:szCs w:val="21"/>
          <w:lang w:val="zh-CN"/>
        </w:rPr>
      </w:pPr>
      <w:bookmarkStart w:id="212" w:name="_Toc14201"/>
      <w:bookmarkStart w:id="213" w:name="_Toc531594779"/>
      <w:bookmarkStart w:id="214" w:name="_Toc334774213"/>
      <w:bookmarkStart w:id="215" w:name="_Toc6107"/>
      <w:r>
        <w:rPr>
          <w:rFonts w:ascii="Times New Roman" w:hAnsi="Times New Roman" w:eastAsia="方正楷体_GBK" w:cs="Times New Roman"/>
          <w:b/>
          <w:w w:val="99"/>
          <w:kern w:val="0"/>
          <w:sz w:val="21"/>
          <w:szCs w:val="21"/>
          <w:lang w:val="zh-CN"/>
        </w:rPr>
        <w:t>10.其他</w:t>
      </w:r>
      <w:bookmarkEnd w:id="212"/>
      <w:bookmarkEnd w:id="213"/>
      <w:bookmarkEnd w:id="214"/>
      <w:bookmarkEnd w:id="215"/>
    </w:p>
    <w:p w14:paraId="597EB2E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其他补充内容要求见投标人</w:t>
      </w:r>
      <w:r>
        <w:rPr>
          <w:rFonts w:hint="eastAsia" w:ascii="Times New Roman" w:hAnsi="Times New Roman" w:eastAsia="方正仿宋_GBK" w:cs="Times New Roman"/>
          <w:kern w:val="0"/>
          <w:sz w:val="21"/>
          <w:szCs w:val="21"/>
        </w:rPr>
        <w:t>须</w:t>
      </w:r>
      <w:r>
        <w:rPr>
          <w:rFonts w:ascii="Times New Roman" w:hAnsi="Times New Roman" w:eastAsia="方正仿宋_GBK" w:cs="Times New Roman"/>
          <w:kern w:val="0"/>
          <w:sz w:val="21"/>
          <w:szCs w:val="21"/>
        </w:rPr>
        <w:t>知内容和前附表。</w:t>
      </w:r>
    </w:p>
    <w:p w14:paraId="6CA11B81">
      <w:pPr>
        <w:autoSpaceDE w:val="0"/>
        <w:autoSpaceDN w:val="0"/>
        <w:adjustRightInd w:val="0"/>
        <w:snapToGrid w:val="0"/>
        <w:spacing w:before="16" w:line="240" w:lineRule="exact"/>
        <w:jc w:val="left"/>
        <w:outlineLvl w:val="2"/>
        <w:rPr>
          <w:rFonts w:ascii="Times New Roman" w:hAnsi="Times New Roman" w:eastAsia="方正仿宋_GBK" w:cs="Times New Roman"/>
          <w:kern w:val="0"/>
          <w:sz w:val="32"/>
          <w:szCs w:val="32"/>
        </w:rPr>
      </w:pPr>
    </w:p>
    <w:p w14:paraId="7BA925C9">
      <w:pPr>
        <w:autoSpaceDE w:val="0"/>
        <w:autoSpaceDN w:val="0"/>
        <w:adjustRightInd w:val="0"/>
        <w:snapToGrid w:val="0"/>
        <w:spacing w:before="16" w:line="240" w:lineRule="exact"/>
        <w:jc w:val="left"/>
        <w:outlineLvl w:val="2"/>
        <w:rPr>
          <w:rFonts w:ascii="Times New Roman" w:hAnsi="Times New Roman" w:eastAsia="方正仿宋_GBK" w:cs="Times New Roman"/>
          <w:kern w:val="0"/>
          <w:sz w:val="32"/>
          <w:szCs w:val="32"/>
        </w:rPr>
      </w:pPr>
    </w:p>
    <w:p w14:paraId="231B8F06">
      <w:pPr>
        <w:spacing w:line="2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br w:type="page"/>
      </w:r>
    </w:p>
    <w:p w14:paraId="04A98490">
      <w:pPr>
        <w:pStyle w:val="2"/>
        <w:numPr>
          <w:ilvl w:val="0"/>
          <w:numId w:val="0"/>
        </w:numPr>
        <w:spacing w:before="0" w:after="0" w:line="600" w:lineRule="exact"/>
        <w:ind w:firstLine="883" w:firstLineChars="200"/>
        <w:jc w:val="center"/>
        <w:rPr>
          <w:rFonts w:ascii="Times New Roman" w:hAnsi="Times New Roman" w:eastAsia="方正小标宋_GBK" w:cs="Times New Roman"/>
        </w:rPr>
      </w:pPr>
      <w:bookmarkStart w:id="216" w:name="_Toc10725332"/>
      <w:bookmarkStart w:id="217" w:name="_第三章_招标数量及参数要求"/>
      <w:r>
        <w:rPr>
          <w:rFonts w:ascii="Times New Roman" w:hAnsi="Times New Roman" w:eastAsia="方正小标宋_GBK" w:cs="Times New Roman"/>
        </w:rPr>
        <w:t>第三章 招标数量及参数要求</w:t>
      </w:r>
      <w:bookmarkEnd w:id="216"/>
    </w:p>
    <w:bookmarkEnd w:id="217"/>
    <w:p w14:paraId="5C707FB5"/>
    <w:p w14:paraId="2CB98FE0">
      <w:pPr>
        <w:widowControl/>
        <w:numPr>
          <w:ilvl w:val="0"/>
          <w:numId w:val="13"/>
        </w:numPr>
        <w:spacing w:line="520" w:lineRule="exact"/>
        <w:jc w:val="left"/>
        <w:rPr>
          <w:rFonts w:ascii="Times New Roman" w:hAnsi="Times New Roman" w:eastAsia="方正黑体_GBK" w:cs="Times New Roman"/>
          <w:b/>
          <w:sz w:val="32"/>
          <w:szCs w:val="32"/>
        </w:rPr>
      </w:pPr>
      <w:r>
        <w:rPr>
          <w:rFonts w:hint="eastAsia" w:ascii="Times New Roman" w:hAnsi="Times New Roman" w:eastAsia="方正黑体_GBK" w:cs="Times New Roman"/>
          <w:b/>
          <w:sz w:val="32"/>
          <w:szCs w:val="32"/>
        </w:rPr>
        <w:t>功能要求</w:t>
      </w:r>
    </w:p>
    <w:p w14:paraId="3D2BE79A">
      <w:pPr>
        <w:numPr>
          <w:ilvl w:val="0"/>
          <w:numId w:val="14"/>
        </w:numPr>
        <w:spacing w:line="520" w:lineRule="exact"/>
        <w:ind w:firstLine="480" w:firstLineChars="200"/>
        <w:jc w:val="left"/>
        <w:rPr>
          <w:rFonts w:ascii="Times New Roman" w:hAnsi="Times New Roman" w:eastAsia="方正仿宋_GBK" w:cs="Times New Roman"/>
          <w:szCs w:val="24"/>
        </w:rPr>
      </w:pPr>
      <w:r>
        <w:rPr>
          <w:rFonts w:hint="eastAsia" w:ascii="Times New Roman" w:hAnsi="Times New Roman" w:eastAsia="方正仿宋_GBK" w:cs="Times New Roman"/>
          <w:szCs w:val="24"/>
        </w:rPr>
        <w:t xml:space="preserve">配置 </w:t>
      </w:r>
      <w:r>
        <w:rPr>
          <w:rFonts w:ascii="Times New Roman" w:hAnsi="Times New Roman" w:eastAsia="方正仿宋_GBK" w:cs="Times New Roman"/>
          <w:szCs w:val="24"/>
        </w:rPr>
        <w:t>4</w:t>
      </w:r>
      <w:r>
        <w:rPr>
          <w:rFonts w:hint="eastAsia" w:ascii="Times New Roman" w:hAnsi="Times New Roman" w:eastAsia="方正仿宋_GBK" w:cs="Times New Roman"/>
          <w:szCs w:val="24"/>
        </w:rPr>
        <w:t xml:space="preserve"> 台通用服务器，用于支撑学校业务系统、数据库、中间件、虚拟化平台、数据服务及日常信息化应用运行，提升学校信息系统运行稳定性、数据处理能力和资源扩展能力；</w:t>
      </w:r>
    </w:p>
    <w:p w14:paraId="154EDE99">
      <w:pPr>
        <w:spacing w:line="520" w:lineRule="exact"/>
        <w:ind w:firstLine="480" w:firstLineChars="200"/>
        <w:jc w:val="left"/>
        <w:rPr>
          <w:rFonts w:ascii="Times New Roman" w:hAnsi="Times New Roman" w:eastAsia="方正仿宋_GBK" w:cs="Times New Roman"/>
          <w:szCs w:val="24"/>
        </w:rPr>
      </w:pPr>
      <w:r>
        <w:rPr>
          <w:rFonts w:hint="eastAsia" w:ascii="Times New Roman" w:hAnsi="Times New Roman" w:eastAsia="方正仿宋_GBK" w:cs="Times New Roman"/>
          <w:szCs w:val="24"/>
        </w:rPr>
        <w:t>（</w:t>
      </w:r>
      <w:r>
        <w:rPr>
          <w:rFonts w:hint="eastAsia" w:ascii="Times New Roman" w:hAnsi="Times New Roman" w:eastAsia="方正仿宋_GBK" w:cs="Times New Roman"/>
          <w:szCs w:val="24"/>
          <w:lang w:val="en-US" w:eastAsia="zh-CN"/>
        </w:rPr>
        <w:t>2</w:t>
      </w:r>
      <w:r>
        <w:rPr>
          <w:rFonts w:hint="eastAsia" w:ascii="Times New Roman" w:hAnsi="Times New Roman" w:eastAsia="方正仿宋_GBK" w:cs="Times New Roman"/>
          <w:szCs w:val="24"/>
        </w:rPr>
        <w:t>）配置 1 台 AI 算力服务器，用于支撑人工智能、大数据分析、深度学习、图像识别、自然语言处理、大模型推理与轻量化微调等教学、实训、科研和项目实践场景；</w:t>
      </w:r>
    </w:p>
    <w:p w14:paraId="2597FE54">
      <w:pPr>
        <w:spacing w:line="520" w:lineRule="exact"/>
        <w:ind w:firstLine="480" w:firstLineChars="200"/>
        <w:jc w:val="left"/>
        <w:rPr>
          <w:rFonts w:ascii="Times New Roman" w:hAnsi="Times New Roman" w:eastAsia="方正仿宋_GBK" w:cs="Times New Roman"/>
          <w:szCs w:val="24"/>
        </w:rPr>
      </w:pPr>
      <w:r>
        <w:rPr>
          <w:rFonts w:hint="eastAsia" w:ascii="Times New Roman" w:hAnsi="Times New Roman" w:eastAsia="方正仿宋_GBK" w:cs="Times New Roman"/>
          <w:szCs w:val="24"/>
        </w:rPr>
        <w:t>（</w:t>
      </w:r>
      <w:r>
        <w:rPr>
          <w:rFonts w:hint="eastAsia" w:ascii="Times New Roman" w:hAnsi="Times New Roman" w:eastAsia="方正仿宋_GBK" w:cs="Times New Roman"/>
          <w:szCs w:val="24"/>
          <w:lang w:val="en-US" w:eastAsia="zh-CN"/>
        </w:rPr>
        <w:t>3</w:t>
      </w:r>
      <w:r>
        <w:rPr>
          <w:rFonts w:hint="eastAsia" w:ascii="Times New Roman" w:hAnsi="Times New Roman" w:eastAsia="方正仿宋_GBK" w:cs="Times New Roman"/>
          <w:szCs w:val="24"/>
        </w:rPr>
        <w:t>）构建学校本地化 AI 算力环境，支持 AI 模型在校内部署、调用、推理和训练，满足教学科研过程中的数据安全、低延迟访问、持续可用和自主可控需求；</w:t>
      </w:r>
    </w:p>
    <w:p w14:paraId="63FF6683">
      <w:pPr>
        <w:spacing w:line="520" w:lineRule="exact"/>
        <w:ind w:firstLine="480" w:firstLineChars="200"/>
        <w:jc w:val="left"/>
        <w:rPr>
          <w:rFonts w:ascii="Times New Roman" w:hAnsi="Times New Roman" w:eastAsia="方正仿宋_GBK" w:cs="Times New Roman"/>
          <w:szCs w:val="24"/>
        </w:rPr>
      </w:pPr>
      <w:r>
        <w:rPr>
          <w:rFonts w:hint="eastAsia" w:ascii="Times New Roman" w:hAnsi="Times New Roman" w:eastAsia="方正仿宋_GBK" w:cs="Times New Roman"/>
          <w:szCs w:val="24"/>
        </w:rPr>
        <w:t>（</w:t>
      </w:r>
      <w:r>
        <w:rPr>
          <w:rFonts w:hint="eastAsia" w:ascii="Times New Roman" w:hAnsi="Times New Roman" w:eastAsia="方正仿宋_GBK" w:cs="Times New Roman"/>
          <w:szCs w:val="24"/>
          <w:lang w:val="en-US" w:eastAsia="zh-CN"/>
        </w:rPr>
        <w:t>4</w:t>
      </w:r>
      <w:r>
        <w:rPr>
          <w:rFonts w:hint="eastAsia" w:ascii="Times New Roman" w:hAnsi="Times New Roman" w:eastAsia="方正仿宋_GBK" w:cs="Times New Roman"/>
          <w:szCs w:val="24"/>
        </w:rPr>
        <w:t>）支持相关课程教学、学生实训、学科竞赛、毕业设计、科研项目及社会服务等工作，为智能化教学改革、人工智能应用创新和应用型人才培养提供本地算力基础；</w:t>
      </w:r>
    </w:p>
    <w:p w14:paraId="55C582C6">
      <w:pPr>
        <w:spacing w:line="520" w:lineRule="exact"/>
        <w:ind w:firstLine="480" w:firstLineChars="200"/>
        <w:jc w:val="left"/>
        <w:rPr>
          <w:rFonts w:ascii="Times New Roman" w:hAnsi="Times New Roman" w:eastAsia="方正仿宋_GBK" w:cs="Times New Roman"/>
          <w:szCs w:val="24"/>
        </w:rPr>
      </w:pPr>
      <w:r>
        <w:rPr>
          <w:rFonts w:hint="eastAsia" w:ascii="Times New Roman" w:hAnsi="Times New Roman" w:eastAsia="方正仿宋_GBK" w:cs="Times New Roman"/>
          <w:szCs w:val="24"/>
        </w:rPr>
        <w:t>（</w:t>
      </w:r>
      <w:r>
        <w:rPr>
          <w:rFonts w:hint="eastAsia" w:ascii="Times New Roman" w:hAnsi="Times New Roman" w:eastAsia="方正仿宋_GBK" w:cs="Times New Roman"/>
          <w:szCs w:val="24"/>
          <w:lang w:val="en-US" w:eastAsia="zh-CN"/>
        </w:rPr>
        <w:t>5</w:t>
      </w:r>
      <w:r>
        <w:rPr>
          <w:rFonts w:hint="eastAsia" w:ascii="Times New Roman" w:hAnsi="Times New Roman" w:eastAsia="方正仿宋_GBK" w:cs="Times New Roman"/>
          <w:szCs w:val="24"/>
        </w:rPr>
        <w:t>）通过服务器冗余电源、RAID 阵列、远程管理、多 GPU 并行计算、AI 框架部署等功能，提升设备运行可靠性、维护便利性和计算资源利用效率；</w:t>
      </w:r>
    </w:p>
    <w:p w14:paraId="7287275D">
      <w:pPr>
        <w:spacing w:line="520" w:lineRule="exact"/>
        <w:ind w:firstLine="480" w:firstLineChars="200"/>
        <w:jc w:val="left"/>
        <w:rPr>
          <w:rFonts w:ascii="Times New Roman" w:hAnsi="Times New Roman" w:eastAsia="方正仿宋_GBK" w:cs="Times New Roman"/>
          <w:szCs w:val="24"/>
        </w:rPr>
      </w:pPr>
      <w:r>
        <w:rPr>
          <w:rFonts w:hint="eastAsia" w:ascii="Times New Roman" w:hAnsi="Times New Roman" w:eastAsia="方正仿宋_GBK" w:cs="Times New Roman"/>
          <w:szCs w:val="24"/>
        </w:rPr>
        <w:t>（</w:t>
      </w:r>
      <w:r>
        <w:rPr>
          <w:rFonts w:hint="eastAsia" w:ascii="Times New Roman" w:hAnsi="Times New Roman" w:eastAsia="方正仿宋_GBK" w:cs="Times New Roman"/>
          <w:szCs w:val="24"/>
          <w:lang w:val="en-US" w:eastAsia="zh-CN"/>
        </w:rPr>
        <w:t>6</w:t>
      </w:r>
      <w:r>
        <w:rPr>
          <w:rFonts w:hint="eastAsia" w:ascii="Times New Roman" w:hAnsi="Times New Roman" w:eastAsia="方正仿宋_GBK" w:cs="Times New Roman"/>
          <w:szCs w:val="24"/>
        </w:rPr>
        <w:t>）完成设备安装上架、系统初始化、RAID 配置、网络调试、AI 计算环境部署、GPU 驱动及深度学习框架安装，实现服务器到货后可直接投入教学、科研、业务系统及本地化 AI 应用建设。</w:t>
      </w:r>
    </w:p>
    <w:p w14:paraId="5306E541">
      <w:pPr>
        <w:widowControl/>
        <w:spacing w:line="520" w:lineRule="exact"/>
        <w:jc w:val="left"/>
        <w:rPr>
          <w:rFonts w:ascii="Times New Roman" w:hAnsi="Times New Roman" w:eastAsia="方正黑体_GBK" w:cs="Times New Roman"/>
          <w:b/>
          <w:sz w:val="32"/>
          <w:szCs w:val="32"/>
        </w:rPr>
      </w:pPr>
      <w:r>
        <w:rPr>
          <w:rFonts w:hint="eastAsia" w:ascii="Times New Roman" w:hAnsi="Times New Roman" w:eastAsia="方正黑体_GBK" w:cs="Times New Roman"/>
          <w:b/>
          <w:sz w:val="32"/>
          <w:szCs w:val="32"/>
        </w:rPr>
        <w:t>二、商务要求</w:t>
      </w:r>
    </w:p>
    <w:p w14:paraId="7D78395E">
      <w:pPr>
        <w:spacing w:line="520" w:lineRule="exact"/>
        <w:ind w:firstLine="640"/>
        <w:jc w:val="left"/>
        <w:rPr>
          <w:rFonts w:ascii="Times New Roman" w:hAnsi="Times New Roman" w:eastAsia="方正仿宋_GBK" w:cs="Times New Roman"/>
          <w:szCs w:val="24"/>
        </w:rPr>
      </w:pPr>
      <w:r>
        <w:rPr>
          <w:rFonts w:hint="eastAsia" w:ascii="Times New Roman" w:hAnsi="Times New Roman" w:eastAsia="方正仿宋_GBK" w:cs="Times New Roman"/>
          <w:szCs w:val="24"/>
        </w:rPr>
        <w:t>（1）供应商所投设备应与学校现有机房环境、网络环境、存储环境及信息化管理要求相适配，设备安装部署前应与学校归口部门充分沟通，确认机柜空间、电源容量、网络端口、IP 地址规划、系统部署方式及安全管理要求。</w:t>
      </w:r>
    </w:p>
    <w:p w14:paraId="083DD1F3">
      <w:pPr>
        <w:spacing w:line="520" w:lineRule="exact"/>
        <w:ind w:firstLine="640"/>
        <w:jc w:val="left"/>
        <w:rPr>
          <w:rFonts w:ascii="Times New Roman" w:hAnsi="Times New Roman" w:eastAsia="方正仿宋_GBK" w:cs="Times New Roman"/>
          <w:szCs w:val="24"/>
        </w:rPr>
      </w:pPr>
      <w:r>
        <w:rPr>
          <w:rFonts w:hint="eastAsia" w:ascii="Times New Roman" w:hAnsi="Times New Roman" w:eastAsia="方正仿宋_GBK" w:cs="Times New Roman"/>
          <w:szCs w:val="24"/>
        </w:rPr>
        <w:t>（2）通用服务器应满足学校业务系统、数据库、中间件、虚拟化平台及数据服务等应用部署需求，支持后续根据学校业务发展进行内存、硬盘、网卡、HBA 卡等扩展。</w:t>
      </w:r>
    </w:p>
    <w:p w14:paraId="46AC0FB3">
      <w:pPr>
        <w:spacing w:line="520" w:lineRule="exact"/>
        <w:ind w:firstLine="640"/>
        <w:jc w:val="left"/>
        <w:rPr>
          <w:rFonts w:ascii="Times New Roman" w:hAnsi="Times New Roman" w:eastAsia="方正仿宋_GBK" w:cs="Times New Roman"/>
          <w:szCs w:val="24"/>
        </w:rPr>
      </w:pPr>
      <w:r>
        <w:rPr>
          <w:rFonts w:hint="eastAsia" w:ascii="Times New Roman" w:hAnsi="Times New Roman" w:eastAsia="方正仿宋_GBK" w:cs="Times New Roman"/>
          <w:szCs w:val="24"/>
        </w:rPr>
        <w:t>（3）AI 算力服务器应支持本地化 AI 算力部署，满足人工智能教学实训、科研计算、模型推理、轻量化微调、多 GPU 并行计算等使用需求。供应商应完成 GPU 驱动、计算库、Docker/容器环境及 PyTorch、TensorFlow、PaddlePaddle 等主流 AI 框架部署，并提供样例测试。</w:t>
      </w:r>
    </w:p>
    <w:p w14:paraId="51E31740">
      <w:pPr>
        <w:spacing w:line="520" w:lineRule="exact"/>
        <w:ind w:firstLine="640"/>
        <w:jc w:val="left"/>
        <w:rPr>
          <w:rFonts w:ascii="Times New Roman" w:hAnsi="Times New Roman" w:eastAsia="方正仿宋_GBK" w:cs="Times New Roman"/>
          <w:szCs w:val="24"/>
        </w:rPr>
      </w:pPr>
      <w:r>
        <w:rPr>
          <w:rFonts w:hint="eastAsia" w:ascii="Times New Roman" w:hAnsi="Times New Roman" w:eastAsia="方正仿宋_GBK" w:cs="Times New Roman"/>
          <w:szCs w:val="24"/>
        </w:rPr>
        <w:t>（4）供应商应协助采购人完成服务器基础安全配置，包括系统账号权限设置、远程管理口安全配置、必要的系统加固、日志查看、访问控制建议等，确保设备接入学校网络后安全稳定运行。</w:t>
      </w:r>
    </w:p>
    <w:p w14:paraId="0FFFC832">
      <w:pPr>
        <w:spacing w:line="520" w:lineRule="exact"/>
        <w:ind w:firstLine="640"/>
        <w:jc w:val="left"/>
        <w:rPr>
          <w:rFonts w:ascii="Times New Roman" w:hAnsi="Times New Roman" w:eastAsia="方正仿宋_GBK" w:cs="Times New Roman"/>
          <w:szCs w:val="24"/>
        </w:rPr>
      </w:pPr>
      <w:r>
        <w:rPr>
          <w:rFonts w:hint="eastAsia" w:ascii="Times New Roman" w:hAnsi="Times New Roman" w:eastAsia="方正仿宋_GBK" w:cs="Times New Roman"/>
          <w:szCs w:val="24"/>
        </w:rPr>
        <w:t>（5）供应商应提供完整的设备资料和部署资料，包括设备配置清单、序列号清单、安装调试记录、RAID 配置说明、网络配置说明、GPU 驱动及 AI 环境部署说明、测试报告、操作维护手册、质保及售后服务承诺等。</w:t>
      </w:r>
    </w:p>
    <w:p w14:paraId="62AFE6C0">
      <w:pPr>
        <w:spacing w:line="520" w:lineRule="exact"/>
        <w:ind w:firstLine="640"/>
        <w:jc w:val="left"/>
        <w:rPr>
          <w:rFonts w:ascii="Times New Roman" w:hAnsi="Times New Roman" w:eastAsia="方正仿宋_GBK" w:cs="Times New Roman"/>
          <w:szCs w:val="24"/>
        </w:rPr>
      </w:pPr>
      <w:r>
        <w:rPr>
          <w:rFonts w:hint="eastAsia" w:ascii="Times New Roman" w:hAnsi="Times New Roman" w:eastAsia="方正仿宋_GBK" w:cs="Times New Roman"/>
          <w:szCs w:val="24"/>
        </w:rPr>
        <w:t>（6）供应商应根据使用部门实际需求，提供不少于 1 次现场培训，培训内容包括服务器日常开关机、远程管理、硬件状态查看、RAID 状态检查、故障告警处理、GPU 使用方法、AI 框架调用、多 GPU 测试及常见问题处理等。</w:t>
      </w:r>
    </w:p>
    <w:p w14:paraId="1134439F">
      <w:pPr>
        <w:spacing w:line="520" w:lineRule="exact"/>
        <w:ind w:firstLine="640"/>
        <w:jc w:val="left"/>
        <w:rPr>
          <w:rFonts w:ascii="Times New Roman" w:hAnsi="Times New Roman" w:eastAsia="方正仿宋_GBK" w:cs="Times New Roman"/>
          <w:szCs w:val="24"/>
        </w:rPr>
      </w:pPr>
      <w:r>
        <w:rPr>
          <w:rFonts w:hint="eastAsia" w:ascii="Times New Roman" w:hAnsi="Times New Roman" w:eastAsia="方正仿宋_GBK" w:cs="Times New Roman"/>
          <w:szCs w:val="24"/>
        </w:rPr>
        <w:t>（7）项目实施过程中，供应商应服从学校归口部门统一管理，做好设备搬运、上架、布线、标识、调试和现场安全管理，施工及调试过程不得影响学校现有业务系统和网络安全稳定运行。</w:t>
      </w:r>
    </w:p>
    <w:p w14:paraId="1D12E582">
      <w:pPr>
        <w:spacing w:line="520" w:lineRule="exact"/>
        <w:ind w:firstLine="640"/>
        <w:jc w:val="left"/>
        <w:rPr>
          <w:rFonts w:ascii="Times New Roman" w:hAnsi="Times New Roman" w:eastAsia="方正仿宋_GBK" w:cs="Times New Roman"/>
          <w:b/>
          <w:bCs/>
          <w:szCs w:val="24"/>
        </w:rPr>
      </w:pPr>
      <w:r>
        <w:rPr>
          <w:rFonts w:hint="eastAsia" w:ascii="Times New Roman" w:hAnsi="Times New Roman" w:eastAsia="方正仿宋_GBK" w:cs="Times New Roman"/>
          <w:szCs w:val="24"/>
        </w:rPr>
        <w:t>（8）</w:t>
      </w:r>
      <w:r>
        <w:rPr>
          <w:rFonts w:hint="eastAsia" w:ascii="Times New Roman" w:hAnsi="Times New Roman" w:eastAsia="方正仿宋_GBK" w:cs="Times New Roman"/>
          <w:b/>
          <w:bCs/>
          <w:szCs w:val="24"/>
        </w:rPr>
        <w:t>本项目技术参数为最低要求，不指定特定品牌、型号、商标、专利、专有技术或特定供应商。投标人所投产品应满足或优于采购文件技术参数要求，并提供相应证明材料。</w:t>
      </w:r>
    </w:p>
    <w:p w14:paraId="4144C08D">
      <w:pPr>
        <w:spacing w:line="520" w:lineRule="exact"/>
        <w:ind w:firstLine="640"/>
        <w:jc w:val="left"/>
        <w:rPr>
          <w:rFonts w:hint="eastAsia" w:ascii="Times New Roman" w:hAnsi="Times New Roman" w:eastAsia="方正仿宋_GBK" w:cs="Times New Roman"/>
          <w:szCs w:val="24"/>
        </w:rPr>
      </w:pPr>
      <w:r>
        <w:rPr>
          <w:rFonts w:hint="eastAsia" w:ascii="Times New Roman" w:hAnsi="Times New Roman" w:eastAsia="方正仿宋_GBK" w:cs="Times New Roman"/>
          <w:szCs w:val="24"/>
        </w:rPr>
        <w:t>（9）GPU 加速卡应为全新原厂正品，适用于 AI 计算、模型推理、轻量化微调及多 GPU 并行计算场景，能够在服务器环境下连续稳定运行；不接受二手、拆机、翻新、魔改或非正规渠道产品。验收时应提供 GPU 型号、序列号、配置清单、质保承诺及公开技术资料。</w:t>
      </w:r>
    </w:p>
    <w:p w14:paraId="69309BED">
      <w:pPr>
        <w:widowControl/>
        <w:spacing w:line="520" w:lineRule="exact"/>
        <w:jc w:val="left"/>
        <w:rPr>
          <w:rFonts w:ascii="Times New Roman" w:hAnsi="Times New Roman" w:eastAsia="方正黑体_GBK" w:cs="Times New Roman"/>
          <w:b/>
          <w:sz w:val="32"/>
          <w:szCs w:val="32"/>
        </w:rPr>
      </w:pPr>
    </w:p>
    <w:p w14:paraId="23F28972">
      <w:pPr>
        <w:widowControl/>
        <w:spacing w:line="520" w:lineRule="exact"/>
        <w:jc w:val="left"/>
        <w:rPr>
          <w:rFonts w:hint="eastAsia" w:ascii="Times New Roman" w:hAnsi="Times New Roman" w:eastAsia="方正黑体_GBK" w:cs="Times New Roman"/>
          <w:b/>
          <w:sz w:val="32"/>
          <w:szCs w:val="32"/>
        </w:rPr>
      </w:pPr>
    </w:p>
    <w:p w14:paraId="136E2C8C">
      <w:pPr>
        <w:widowControl/>
        <w:numPr>
          <w:ilvl w:val="0"/>
          <w:numId w:val="13"/>
        </w:numPr>
        <w:spacing w:line="520" w:lineRule="exact"/>
        <w:jc w:val="left"/>
        <w:rPr>
          <w:rFonts w:ascii="Times New Roman" w:hAnsi="Times New Roman" w:eastAsia="方正黑体_GBK" w:cs="Times New Roman"/>
          <w:b/>
          <w:sz w:val="32"/>
          <w:szCs w:val="32"/>
        </w:rPr>
      </w:pPr>
      <w:r>
        <w:rPr>
          <w:rFonts w:hint="eastAsia" w:ascii="Times New Roman" w:hAnsi="Times New Roman" w:eastAsia="方正黑体_GBK" w:cs="Times New Roman"/>
          <w:b/>
          <w:sz w:val="32"/>
          <w:szCs w:val="32"/>
        </w:rPr>
        <w:t>采购内容清单</w:t>
      </w:r>
    </w:p>
    <w:tbl>
      <w:tblPr>
        <w:tblStyle w:val="43"/>
        <w:tblW w:w="10660"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477"/>
        <w:gridCol w:w="1536"/>
        <w:gridCol w:w="5340"/>
        <w:gridCol w:w="516"/>
        <w:gridCol w:w="600"/>
        <w:gridCol w:w="2191"/>
      </w:tblGrid>
      <w:tr w14:paraId="121E25C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PrEx>
        <w:trPr>
          <w:tblHeader/>
          <w:jc w:val="center"/>
        </w:trPr>
        <w:tc>
          <w:tcPr>
            <w:tcW w:w="477" w:type="dxa"/>
            <w:tcBorders>
              <w:top w:val="single" w:color="auto" w:sz="12" w:space="0"/>
              <w:left w:val="single" w:color="auto" w:sz="12" w:space="0"/>
              <w:bottom w:val="nil"/>
              <w:right w:val="nil"/>
            </w:tcBorders>
            <w:tcMar>
              <w:top w:w="-1" w:type="dxa"/>
              <w:left w:w="-1" w:type="dxa"/>
              <w:bottom w:w="-1" w:type="dxa"/>
              <w:right w:w="-1" w:type="dxa"/>
            </w:tcMar>
            <w:vAlign w:val="center"/>
          </w:tcPr>
          <w:p w14:paraId="2FE04B18">
            <w:pPr>
              <w:keepNext/>
              <w:snapToGrid w:val="0"/>
              <w:jc w:val="center"/>
              <w:rPr>
                <w:rFonts w:ascii="Times New Roman" w:hAnsi="Times New Roman" w:eastAsia="方正仿宋_GBK" w:cs="Times New Roman"/>
                <w:b/>
                <w:szCs w:val="24"/>
              </w:rPr>
            </w:pPr>
            <w:r>
              <w:rPr>
                <w:rFonts w:hint="eastAsia" w:ascii="Times New Roman" w:hAnsi="Times New Roman" w:eastAsia="方正仿宋_GBK" w:cs="Times New Roman"/>
                <w:b/>
                <w:szCs w:val="24"/>
              </w:rPr>
              <w:t>序号</w:t>
            </w:r>
          </w:p>
        </w:tc>
        <w:tc>
          <w:tcPr>
            <w:tcW w:w="1536" w:type="dxa"/>
            <w:tcBorders>
              <w:top w:val="single" w:color="auto" w:sz="12" w:space="0"/>
              <w:left w:val="single" w:color="auto" w:sz="4" w:space="0"/>
              <w:bottom w:val="nil"/>
              <w:right w:val="nil"/>
            </w:tcBorders>
            <w:tcMar>
              <w:top w:w="-1" w:type="dxa"/>
              <w:left w:w="-1" w:type="dxa"/>
              <w:bottom w:w="-1" w:type="dxa"/>
              <w:right w:w="-1" w:type="dxa"/>
            </w:tcMar>
            <w:vAlign w:val="center"/>
          </w:tcPr>
          <w:p w14:paraId="6D14C687">
            <w:pPr>
              <w:keepNext/>
              <w:snapToGrid w:val="0"/>
              <w:jc w:val="center"/>
              <w:rPr>
                <w:rFonts w:ascii="Times New Roman" w:hAnsi="Times New Roman" w:eastAsia="方正仿宋_GBK" w:cs="Times New Roman"/>
                <w:b/>
                <w:szCs w:val="24"/>
              </w:rPr>
            </w:pPr>
            <w:r>
              <w:rPr>
                <w:rFonts w:hint="eastAsia" w:ascii="Times New Roman" w:hAnsi="Times New Roman" w:eastAsia="方正仿宋_GBK" w:cs="Times New Roman"/>
                <w:b/>
                <w:szCs w:val="24"/>
              </w:rPr>
              <w:t>设备名称</w:t>
            </w:r>
          </w:p>
        </w:tc>
        <w:tc>
          <w:tcPr>
            <w:tcW w:w="5340" w:type="dxa"/>
            <w:tcBorders>
              <w:top w:val="single" w:color="auto" w:sz="12" w:space="0"/>
              <w:left w:val="single" w:color="auto" w:sz="4" w:space="0"/>
              <w:bottom w:val="nil"/>
              <w:right w:val="nil"/>
            </w:tcBorders>
            <w:tcMar>
              <w:top w:w="-1" w:type="dxa"/>
              <w:left w:w="-1" w:type="dxa"/>
              <w:bottom w:w="-1" w:type="dxa"/>
              <w:right w:w="-1" w:type="dxa"/>
            </w:tcMar>
            <w:vAlign w:val="center"/>
          </w:tcPr>
          <w:p w14:paraId="1381163A">
            <w:pPr>
              <w:keepNext/>
              <w:snapToGrid w:val="0"/>
              <w:jc w:val="center"/>
              <w:rPr>
                <w:rFonts w:ascii="Times New Roman" w:hAnsi="Times New Roman" w:eastAsia="方正仿宋_GBK" w:cs="Times New Roman"/>
                <w:b/>
                <w:szCs w:val="24"/>
              </w:rPr>
            </w:pPr>
            <w:r>
              <w:rPr>
                <w:rFonts w:hint="eastAsia" w:ascii="Times New Roman" w:hAnsi="Times New Roman" w:eastAsia="方正仿宋_GBK" w:cs="Times New Roman"/>
                <w:b/>
                <w:szCs w:val="24"/>
              </w:rPr>
              <w:t>规格型号</w:t>
            </w:r>
          </w:p>
        </w:tc>
        <w:tc>
          <w:tcPr>
            <w:tcW w:w="516" w:type="dxa"/>
            <w:tcBorders>
              <w:top w:val="single" w:color="auto" w:sz="12" w:space="0"/>
              <w:left w:val="single" w:color="auto" w:sz="4" w:space="0"/>
              <w:bottom w:val="nil"/>
              <w:right w:val="nil"/>
            </w:tcBorders>
            <w:tcMar>
              <w:top w:w="-1" w:type="dxa"/>
              <w:left w:w="-1" w:type="dxa"/>
              <w:bottom w:w="-1" w:type="dxa"/>
              <w:right w:w="-1" w:type="dxa"/>
            </w:tcMar>
            <w:vAlign w:val="center"/>
          </w:tcPr>
          <w:p w14:paraId="5A30E721">
            <w:pPr>
              <w:keepNext/>
              <w:snapToGrid w:val="0"/>
              <w:jc w:val="center"/>
              <w:rPr>
                <w:rFonts w:ascii="Times New Roman" w:hAnsi="Times New Roman" w:eastAsia="方正仿宋_GBK" w:cs="Times New Roman"/>
                <w:b/>
                <w:szCs w:val="24"/>
              </w:rPr>
            </w:pPr>
            <w:r>
              <w:rPr>
                <w:rFonts w:hint="eastAsia" w:ascii="Times New Roman" w:hAnsi="Times New Roman" w:eastAsia="方正仿宋_GBK" w:cs="Times New Roman"/>
                <w:b/>
                <w:szCs w:val="24"/>
              </w:rPr>
              <w:t>单位</w:t>
            </w:r>
          </w:p>
        </w:tc>
        <w:tc>
          <w:tcPr>
            <w:tcW w:w="600" w:type="dxa"/>
            <w:tcBorders>
              <w:top w:val="single" w:color="auto" w:sz="12" w:space="0"/>
              <w:left w:val="single" w:color="auto" w:sz="4" w:space="0"/>
              <w:bottom w:val="nil"/>
              <w:right w:val="nil"/>
            </w:tcBorders>
            <w:tcMar>
              <w:top w:w="-1" w:type="dxa"/>
              <w:left w:w="-1" w:type="dxa"/>
              <w:bottom w:w="-1" w:type="dxa"/>
              <w:right w:w="-1" w:type="dxa"/>
            </w:tcMar>
            <w:vAlign w:val="center"/>
          </w:tcPr>
          <w:p w14:paraId="6A0E547F">
            <w:pPr>
              <w:keepNext/>
              <w:snapToGrid w:val="0"/>
              <w:jc w:val="center"/>
              <w:rPr>
                <w:rFonts w:ascii="Times New Roman" w:hAnsi="Times New Roman" w:eastAsia="方正仿宋_GBK" w:cs="Times New Roman"/>
                <w:b/>
                <w:szCs w:val="24"/>
              </w:rPr>
            </w:pPr>
            <w:r>
              <w:rPr>
                <w:rFonts w:hint="eastAsia" w:ascii="Times New Roman" w:hAnsi="Times New Roman" w:eastAsia="方正仿宋_GBK" w:cs="Times New Roman"/>
                <w:b/>
                <w:szCs w:val="24"/>
              </w:rPr>
              <w:t>数量</w:t>
            </w:r>
          </w:p>
        </w:tc>
        <w:tc>
          <w:tcPr>
            <w:tcW w:w="2191" w:type="dxa"/>
            <w:tcBorders>
              <w:top w:val="single" w:color="auto" w:sz="12" w:space="0"/>
              <w:left w:val="single" w:color="auto" w:sz="4" w:space="0"/>
              <w:bottom w:val="nil"/>
              <w:right w:val="single" w:color="auto" w:sz="12" w:space="0"/>
            </w:tcBorders>
            <w:tcMar>
              <w:top w:w="-1" w:type="dxa"/>
              <w:left w:w="-1" w:type="dxa"/>
              <w:bottom w:w="-1" w:type="dxa"/>
              <w:right w:w="-1" w:type="dxa"/>
            </w:tcMar>
            <w:vAlign w:val="center"/>
          </w:tcPr>
          <w:p w14:paraId="7FEAD445">
            <w:pPr>
              <w:keepNext/>
              <w:snapToGrid w:val="0"/>
              <w:jc w:val="center"/>
              <w:rPr>
                <w:rFonts w:ascii="Times New Roman" w:hAnsi="Times New Roman" w:eastAsia="方正仿宋_GBK" w:cs="Times New Roman"/>
                <w:b/>
                <w:szCs w:val="24"/>
              </w:rPr>
            </w:pPr>
            <w:r>
              <w:rPr>
                <w:rFonts w:hint="eastAsia" w:ascii="Times New Roman" w:hAnsi="Times New Roman" w:eastAsia="方正仿宋_GBK" w:cs="Times New Roman"/>
                <w:b/>
                <w:szCs w:val="24"/>
              </w:rPr>
              <w:t>备注</w:t>
            </w:r>
          </w:p>
        </w:tc>
      </w:tr>
      <w:tr w14:paraId="7478D12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12" w:space="0"/>
              <w:bottom w:val="nil"/>
              <w:right w:val="nil"/>
            </w:tcBorders>
            <w:tcMar>
              <w:top w:w="-1" w:type="dxa"/>
              <w:left w:w="-1" w:type="dxa"/>
              <w:bottom w:w="-1" w:type="dxa"/>
              <w:right w:w="-1" w:type="dxa"/>
            </w:tcMar>
            <w:vAlign w:val="center"/>
          </w:tcPr>
          <w:p w14:paraId="44CCB63A">
            <w:pPr>
              <w:keepNext/>
              <w:snapToGrid w:val="0"/>
              <w:jc w:val="center"/>
              <w:rPr>
                <w:rFonts w:ascii="Times New Roman" w:hAnsi="Times New Roman" w:eastAsia="方正仿宋_GBK" w:cs="Times New Roman"/>
                <w:szCs w:val="24"/>
              </w:rPr>
            </w:pPr>
            <w:r>
              <w:rPr>
                <w:rFonts w:hint="eastAsia" w:ascii="Times New Roman" w:hAnsi="Times New Roman" w:eastAsia="方正仿宋_GBK" w:cs="Times New Roman"/>
                <w:szCs w:val="24"/>
              </w:rPr>
              <w:t>1</w:t>
            </w:r>
          </w:p>
        </w:tc>
        <w:tc>
          <w:tcPr>
            <w:tcW w:w="1536" w:type="dxa"/>
            <w:tcBorders>
              <w:top w:val="single" w:color="auto" w:sz="4" w:space="0"/>
              <w:left w:val="single" w:color="auto" w:sz="4" w:space="0"/>
              <w:bottom w:val="nil"/>
              <w:right w:val="nil"/>
            </w:tcBorders>
            <w:tcMar>
              <w:top w:w="-1" w:type="dxa"/>
              <w:left w:w="-1" w:type="dxa"/>
              <w:bottom w:w="-1" w:type="dxa"/>
              <w:right w:w="-1" w:type="dxa"/>
            </w:tcMar>
            <w:vAlign w:val="center"/>
          </w:tcPr>
          <w:p w14:paraId="39C71349">
            <w:pPr>
              <w:keepNext/>
              <w:snapToGrid w:val="0"/>
              <w:jc w:val="center"/>
              <w:rPr>
                <w:rFonts w:ascii="Times New Roman" w:hAnsi="Times New Roman" w:eastAsia="方正仿宋_GBK" w:cs="Times New Roman"/>
                <w:szCs w:val="24"/>
              </w:rPr>
            </w:pPr>
            <w:r>
              <w:rPr>
                <w:rFonts w:hint="eastAsia" w:ascii="Times New Roman" w:hAnsi="Times New Roman" w:eastAsia="方正仿宋_GBK" w:cs="Times New Roman"/>
                <w:szCs w:val="24"/>
              </w:rPr>
              <w:t>通用服务器</w:t>
            </w:r>
          </w:p>
        </w:tc>
        <w:tc>
          <w:tcPr>
            <w:tcW w:w="5340" w:type="dxa"/>
            <w:tcBorders>
              <w:top w:val="single" w:color="auto" w:sz="4" w:space="0"/>
              <w:left w:val="single" w:color="auto" w:sz="4" w:space="0"/>
              <w:bottom w:val="nil"/>
              <w:right w:val="nil"/>
            </w:tcBorders>
            <w:tcMar>
              <w:top w:w="-1" w:type="dxa"/>
              <w:left w:w="-1" w:type="dxa"/>
              <w:bottom w:w="-1" w:type="dxa"/>
              <w:right w:w="-1" w:type="dxa"/>
            </w:tcMar>
            <w:vAlign w:val="center"/>
          </w:tcPr>
          <w:p w14:paraId="447CFEBC">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1. 机型：19 英寸工业标准 2U 机架式服务器，配置上架导轨，适用于虚拟化、数据库、中间件、业务系统等通用应用场景。</w:t>
            </w:r>
          </w:p>
          <w:p w14:paraId="07D8C26F">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2. 处理器：配置 ≥2 颗 x86 架构服务器级处理器，单颗物理核心数 ≥16 核，线程数 ≥32 线程，基准主频 ≥2.4GHz，支持虚拟化技术。</w:t>
            </w:r>
          </w:p>
          <w:p w14:paraId="294DF664">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3. 内存：配置 ≥8×32GB ECC RDIMM 内存，总容量 ≥256GB，内存速率 ≥3200MT/s；支持后续内存扩展。</w:t>
            </w:r>
          </w:p>
          <w:p w14:paraId="4AAA0E62">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4. 系统盘：配置 ≥2 块 480GB 企业级 SSD，支持 RAID1。</w:t>
            </w:r>
          </w:p>
          <w:p w14:paraId="6229858C">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5. 数据盘：配置 ≥2 块 3.5 英寸企业级硬盘，单盘容量 ≥8TB，转速 ≥7200RPM，支持 SAS/SATA 接口，支持热插拔。</w:t>
            </w:r>
          </w:p>
          <w:p w14:paraId="69AABDC2">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6. 硬盘扩展：整机支持 ≥8 个 3.5 英寸或 2.5 英寸热插拔硬盘位，支持 SSD、SAS、SATA 等多种硬盘扩展。</w:t>
            </w:r>
          </w:p>
          <w:p w14:paraId="07AE1B89">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7. RAID 卡：配置独立硬件 RAID 阵列卡，缓存 ≥2GB，支持 RAID 0/1/5/6/10，支持热备盘。</w:t>
            </w:r>
          </w:p>
          <w:p w14:paraId="245C057C">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8. 网络接口：配置 ≥2 个千兆以太网口及 ≥2 个 10GbE 网络接口，或配置 ≥2 个 10GbE 网络接口并另配独立管理口；支持链路聚合、网络冗余及后续扩展。</w:t>
            </w:r>
          </w:p>
          <w:p w14:paraId="6D4081DB">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9. 扩展能力：支持 ≥4 个 PCIe 扩展槽，支持扩展网卡、RAID 卡、存储扩展卡等设备。</w:t>
            </w:r>
          </w:p>
          <w:p w14:paraId="0960C791">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10. 电源：配置 1+1 冗余热插拔电源，单电源功率 ≥800W，电源效率不低于白金级。</w:t>
            </w:r>
          </w:p>
          <w:p w14:paraId="75CDA2DE">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11. 管理功能：配置独立远程管理模块，支持远程开关机、硬件状态监控、故障告警、日志查看、虚拟介质、远程控制台等功能。</w:t>
            </w:r>
          </w:p>
          <w:p w14:paraId="02CBB524">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12. 兼容性：支持 Windows Server、主流 Linux 操作系统及主流虚拟化平台。</w:t>
            </w:r>
          </w:p>
          <w:p w14:paraId="39021D39">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13. 服务要求：提供安装上架、系统初始化、RAID 配置、网络调试及使用培训；提供不少于 3 年整机质保和上门服务。</w:t>
            </w:r>
          </w:p>
        </w:tc>
        <w:tc>
          <w:tcPr>
            <w:tcW w:w="516" w:type="dxa"/>
            <w:tcBorders>
              <w:top w:val="single" w:color="auto" w:sz="4" w:space="0"/>
              <w:left w:val="single" w:color="auto" w:sz="4" w:space="0"/>
              <w:bottom w:val="nil"/>
              <w:right w:val="nil"/>
            </w:tcBorders>
            <w:tcMar>
              <w:top w:w="-1" w:type="dxa"/>
              <w:left w:w="-1" w:type="dxa"/>
              <w:bottom w:w="-1" w:type="dxa"/>
              <w:right w:w="-1" w:type="dxa"/>
            </w:tcMar>
            <w:vAlign w:val="center"/>
          </w:tcPr>
          <w:p w14:paraId="720ACC5C">
            <w:pPr>
              <w:keepNext/>
              <w:snapToGrid w:val="0"/>
              <w:jc w:val="center"/>
              <w:rPr>
                <w:rFonts w:ascii="Times New Roman" w:hAnsi="Times New Roman" w:eastAsia="方正仿宋_GBK" w:cs="Times New Roman"/>
                <w:szCs w:val="24"/>
              </w:rPr>
            </w:pPr>
            <w:r>
              <w:rPr>
                <w:rFonts w:hint="eastAsia" w:ascii="Times New Roman" w:hAnsi="Times New Roman" w:eastAsia="方正仿宋_GBK" w:cs="Times New Roman"/>
                <w:szCs w:val="24"/>
              </w:rPr>
              <w:t>台</w:t>
            </w:r>
          </w:p>
        </w:tc>
        <w:tc>
          <w:tcPr>
            <w:tcW w:w="600" w:type="dxa"/>
            <w:tcBorders>
              <w:top w:val="single" w:color="auto" w:sz="4" w:space="0"/>
              <w:left w:val="single" w:color="auto" w:sz="4" w:space="0"/>
              <w:bottom w:val="nil"/>
              <w:right w:val="nil"/>
            </w:tcBorders>
            <w:tcMar>
              <w:top w:w="-1" w:type="dxa"/>
              <w:left w:w="-1" w:type="dxa"/>
              <w:bottom w:w="-1" w:type="dxa"/>
              <w:right w:w="-1" w:type="dxa"/>
            </w:tcMar>
            <w:vAlign w:val="center"/>
          </w:tcPr>
          <w:p w14:paraId="40AF5535">
            <w:pPr>
              <w:keepNext/>
              <w:snapToGrid w:val="0"/>
              <w:jc w:val="center"/>
              <w:rPr>
                <w:rFonts w:hint="eastAsia" w:ascii="Times New Roman" w:hAnsi="Times New Roman" w:eastAsia="方正仿宋_GBK" w:cs="Times New Roman"/>
                <w:szCs w:val="24"/>
                <w:lang w:eastAsia="zh-CN"/>
              </w:rPr>
            </w:pPr>
            <w:r>
              <w:rPr>
                <w:rFonts w:hint="eastAsia" w:ascii="Times New Roman" w:hAnsi="Times New Roman" w:eastAsia="方正仿宋_GBK" w:cs="Times New Roman"/>
                <w:szCs w:val="24"/>
                <w:lang w:val="en-US" w:eastAsia="zh-CN"/>
              </w:rPr>
              <w:t>4</w:t>
            </w:r>
          </w:p>
        </w:tc>
        <w:tc>
          <w:tcPr>
            <w:tcW w:w="2191" w:type="dxa"/>
            <w:tcBorders>
              <w:top w:val="single" w:color="auto" w:sz="4" w:space="0"/>
              <w:left w:val="single" w:color="auto" w:sz="4" w:space="0"/>
              <w:bottom w:val="nil"/>
              <w:right w:val="single" w:color="auto" w:sz="12" w:space="0"/>
            </w:tcBorders>
            <w:tcMar>
              <w:top w:w="-1" w:type="dxa"/>
              <w:left w:w="-1" w:type="dxa"/>
              <w:bottom w:w="-1" w:type="dxa"/>
              <w:right w:w="-1" w:type="dxa"/>
            </w:tcMar>
            <w:vAlign w:val="center"/>
          </w:tcPr>
          <w:p w14:paraId="7C71FDF4">
            <w:pPr>
              <w:keepNext/>
              <w:snapToGrid w:val="0"/>
              <w:jc w:val="center"/>
              <w:rPr>
                <w:rFonts w:ascii="Times New Roman" w:hAnsi="Times New Roman" w:eastAsia="方正仿宋_GBK" w:cs="Times New Roman"/>
                <w:szCs w:val="24"/>
              </w:rPr>
            </w:pPr>
          </w:p>
        </w:tc>
      </w:tr>
      <w:tr w14:paraId="1F537E3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12" w:space="0"/>
              <w:bottom w:val="single" w:color="auto" w:sz="4" w:space="0"/>
              <w:right w:val="nil"/>
            </w:tcBorders>
            <w:tcMar>
              <w:top w:w="-1" w:type="dxa"/>
              <w:left w:w="-1" w:type="dxa"/>
              <w:bottom w:w="-1" w:type="dxa"/>
              <w:right w:w="-1" w:type="dxa"/>
            </w:tcMar>
            <w:vAlign w:val="center"/>
          </w:tcPr>
          <w:p w14:paraId="4AD450EE">
            <w:pPr>
              <w:keepNext/>
              <w:snapToGrid w:val="0"/>
              <w:jc w:val="center"/>
              <w:rPr>
                <w:rFonts w:ascii="Times New Roman" w:hAnsi="Times New Roman" w:eastAsia="方正仿宋_GBK" w:cs="Times New Roman"/>
                <w:szCs w:val="24"/>
              </w:rPr>
            </w:pPr>
            <w:r>
              <w:rPr>
                <w:rFonts w:hint="eastAsia" w:ascii="Times New Roman" w:hAnsi="Times New Roman" w:eastAsia="方正仿宋_GBK" w:cs="Times New Roman"/>
                <w:szCs w:val="24"/>
              </w:rPr>
              <w:t>2</w:t>
            </w:r>
          </w:p>
        </w:tc>
        <w:tc>
          <w:tcPr>
            <w:tcW w:w="1536"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D1A344F">
            <w:pPr>
              <w:keepNext/>
              <w:snapToGrid w:val="0"/>
              <w:jc w:val="center"/>
              <w:rPr>
                <w:rFonts w:ascii="Times New Roman" w:hAnsi="Times New Roman" w:eastAsia="方正仿宋_GBK" w:cs="Times New Roman"/>
                <w:szCs w:val="24"/>
              </w:rPr>
            </w:pPr>
            <w:r>
              <w:rPr>
                <w:rFonts w:hint="eastAsia" w:ascii="Times New Roman" w:hAnsi="Times New Roman" w:eastAsia="方正仿宋_GBK" w:cs="Times New Roman"/>
                <w:szCs w:val="24"/>
              </w:rPr>
              <w:t>算力服务器</w:t>
            </w:r>
          </w:p>
        </w:tc>
        <w:tc>
          <w:tcPr>
            <w:tcW w:w="534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4F74A78">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1. 机型：19 英寸工业标准机架式 GPU 服务器，支持多 GPU 并行计算，配置上架导轨，适用于人工智能、深度学习、大模型推理、模型微调、图像识别、科研计算等场景。</w:t>
            </w:r>
          </w:p>
          <w:p w14:paraId="4027AD6F">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2. 处理器：配置 ≥2 颗 x86 架构服务器级处理器，整机物理核心数 ≥32 核，基准主频 ≥2.4GHz，支持虚拟化及高性能计算应用。</w:t>
            </w:r>
          </w:p>
          <w:p w14:paraId="52E93C7F">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3. 内存：配置 ≥8×32GB ECC RDIMM 内存，总容量 ≥256GB，内存速率 ≥3200MT/s，支持后续扩展。</w:t>
            </w:r>
          </w:p>
          <w:p w14:paraId="069388D1">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4. 系统盘：配置 ≥2 块 480GB 企业级 SSD，支持 RAID1。</w:t>
            </w:r>
          </w:p>
          <w:p w14:paraId="7AED903C">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5. 数据盘：配置 ≥2 块企业级硬盘，单盘容量 ≥8TB，转速 ≥7200RPM，支持 SAS/SATA 接口，支持热插拔。</w:t>
            </w:r>
          </w:p>
          <w:p w14:paraId="18CDA2CB">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6. GPU 加速卡：配置 AI 计算加速卡，整机 GPU 显存总容量 ≥192GB，支持主流深度学习、机器学习、图像处理、模型推理和模型微调任务。</w:t>
            </w:r>
          </w:p>
          <w:p w14:paraId="26242D90">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7. AI 理论算力：整机 AI 理论算力 ≥20000 AI TOPS。投标人须在投标文件中明确所投 GPU 型号、数量、单卡 AI TOPS、整机 AI TOPS、显存容量、显存带宽、功耗、支持的计算精度及理论算力指标，并提供 GPU 厂商公开技术资料或产品彩页证明。AI TOPS 指标应说明对应计算精度、稀疏/非稀疏等计算口径；FP16、BF16、FP8、INT8 等不同精度的理论性能应分别列明，不得将不同精度、不同口径的算力指标混合折算。</w:t>
            </w:r>
          </w:p>
          <w:p w14:paraId="23D15B5B">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8. 多卡能力：整机支持多 GPU 并行计算，GPU、电源、散热、PCIe 通道应满足满配 GPU 长时间稳定运行要求；须支持多卡识别、多卡调用和多卡压力测试。</w:t>
            </w:r>
          </w:p>
          <w:p w14:paraId="603E050D">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9. RAID 卡：配置独立硬件 RAID 阵列卡，支持 RAID 0/1/5/6/10，支持热备盘。</w:t>
            </w:r>
          </w:p>
          <w:p w14:paraId="7EC7A9FE">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10. 网络接口：配置 ≥2 个 10GbE 网络接口，支持链路聚合和网络冗余；支持扩展 25GbE 或更高速网络接口；另配独立远程管理接口或具备等效远程管理能力。</w:t>
            </w:r>
          </w:p>
          <w:p w14:paraId="2D451FC4">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11. 扩展能力：支持 ≥6 块双宽 GPU 加速卡稳定安装和运行，支持后续扩展网卡、存储扩展卡等设备。</w:t>
            </w:r>
          </w:p>
          <w:p w14:paraId="096FAC75">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12. 电源：配置高可靠冗余热插拔电源，整机电源功率应满足满配 GPU 持续稳定运行需求，支持 N+1 或 N+N 冗余。</w:t>
            </w:r>
          </w:p>
          <w:p w14:paraId="713E4261">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13. 管理功能：配置独立远程管理模块，支持 CPU、内存、硬盘、GPU、电源、风扇、温度等硬件状态监控，支持远程开关机、故障告警和日志查看。</w:t>
            </w:r>
          </w:p>
          <w:p w14:paraId="601B96C7">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14. AI 软件环境：支持 Linux 操作系统，支持 CUDA 或兼容 GPU 计算环境，支持 PyTorch、TensorFlow、PaddlePaddle 等主流 AI 框架；供货方须完成 GPU 驱动、计算库、Docker/容器环境及 AI 框架部署。</w:t>
            </w:r>
          </w:p>
          <w:p w14:paraId="098DF24D">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15. 验收要求：完成系统安装、GPU 驱动安装、深度学习环境部署、Docker/容器环境部署、多 GPU 识别测试、多 GPU 调用测试、GPU 压力测试和样例程序运行测试。</w:t>
            </w:r>
          </w:p>
          <w:p w14:paraId="532B2EEC">
            <w:pPr>
              <w:keepNext/>
              <w:snapToGrid w:val="0"/>
              <w:jc w:val="left"/>
              <w:rPr>
                <w:rFonts w:ascii="Times New Roman" w:hAnsi="Times New Roman" w:eastAsia="方正仿宋_GBK" w:cs="Times New Roman"/>
                <w:szCs w:val="24"/>
              </w:rPr>
            </w:pPr>
            <w:r>
              <w:rPr>
                <w:rFonts w:hint="eastAsia" w:ascii="Times New Roman" w:hAnsi="Times New Roman" w:eastAsia="方正仿宋_GBK" w:cs="Times New Roman"/>
                <w:szCs w:val="24"/>
              </w:rPr>
              <w:t>16. 服务要求：提供安装上架、加电调试、系统初始化、AI 环境部署、使用培训；提供不少于 3 年整机质保和上门服务。</w:t>
            </w:r>
          </w:p>
        </w:tc>
        <w:tc>
          <w:tcPr>
            <w:tcW w:w="516"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086DAB07">
            <w:pPr>
              <w:keepNext/>
              <w:snapToGrid w:val="0"/>
              <w:jc w:val="center"/>
              <w:rPr>
                <w:rFonts w:ascii="Times New Roman" w:hAnsi="Times New Roman" w:eastAsia="方正仿宋_GBK" w:cs="Times New Roman"/>
                <w:szCs w:val="24"/>
              </w:rPr>
            </w:pPr>
            <w:r>
              <w:rPr>
                <w:rFonts w:hint="eastAsia" w:ascii="Times New Roman" w:hAnsi="Times New Roman" w:eastAsia="方正仿宋_GBK" w:cs="Times New Roman"/>
                <w:szCs w:val="24"/>
              </w:rPr>
              <w:t>台</w:t>
            </w:r>
          </w:p>
        </w:tc>
        <w:tc>
          <w:tcPr>
            <w:tcW w:w="60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168CA8E">
            <w:pPr>
              <w:keepNext/>
              <w:snapToGrid w:val="0"/>
              <w:jc w:val="center"/>
              <w:rPr>
                <w:rFonts w:ascii="Times New Roman" w:hAnsi="Times New Roman" w:eastAsia="方正仿宋_GBK" w:cs="Times New Roman"/>
                <w:szCs w:val="24"/>
              </w:rPr>
            </w:pPr>
            <w:r>
              <w:rPr>
                <w:rFonts w:hint="eastAsia" w:ascii="Times New Roman" w:hAnsi="Times New Roman" w:eastAsia="方正仿宋_GBK" w:cs="Times New Roman"/>
                <w:szCs w:val="24"/>
              </w:rPr>
              <w:t>1</w:t>
            </w:r>
          </w:p>
        </w:tc>
        <w:tc>
          <w:tcPr>
            <w:tcW w:w="2191" w:type="dxa"/>
            <w:tcBorders>
              <w:top w:val="single" w:color="auto" w:sz="4" w:space="0"/>
              <w:left w:val="single" w:color="auto" w:sz="4" w:space="0"/>
              <w:bottom w:val="single" w:color="auto" w:sz="4" w:space="0"/>
              <w:right w:val="single" w:color="auto" w:sz="12" w:space="0"/>
            </w:tcBorders>
            <w:tcMar>
              <w:top w:w="-1" w:type="dxa"/>
              <w:left w:w="-1" w:type="dxa"/>
              <w:bottom w:w="-1" w:type="dxa"/>
              <w:right w:w="-1" w:type="dxa"/>
            </w:tcMar>
            <w:vAlign w:val="center"/>
          </w:tcPr>
          <w:p w14:paraId="051BB54F">
            <w:pPr>
              <w:keepNext/>
              <w:snapToGrid w:val="0"/>
              <w:jc w:val="center"/>
              <w:rPr>
                <w:rFonts w:ascii="Times New Roman" w:hAnsi="Times New Roman" w:eastAsia="方正仿宋_GBK" w:cs="Times New Roman"/>
                <w:szCs w:val="24"/>
              </w:rPr>
            </w:pPr>
          </w:p>
        </w:tc>
      </w:tr>
    </w:tbl>
    <w:p w14:paraId="556185BC">
      <w:pPr>
        <w:rPr>
          <w:rFonts w:ascii="Times New Roman" w:hAnsi="Times New Roman" w:eastAsia="方正小标宋_GBK" w:cs="Times New Roman"/>
        </w:rPr>
      </w:pPr>
      <w:r>
        <w:rPr>
          <w:rFonts w:ascii="Times New Roman" w:hAnsi="Times New Roman" w:eastAsia="方正小标宋_GBK" w:cs="Times New Roman"/>
        </w:rPr>
        <w:br w:type="page"/>
      </w:r>
    </w:p>
    <w:p w14:paraId="12FF8715">
      <w:pPr>
        <w:pStyle w:val="2"/>
        <w:numPr>
          <w:ilvl w:val="0"/>
          <w:numId w:val="0"/>
        </w:numPr>
        <w:spacing w:before="0" w:after="0" w:line="520" w:lineRule="exact"/>
        <w:ind w:firstLine="2209" w:firstLineChars="500"/>
        <w:rPr>
          <w:rFonts w:ascii="Times New Roman" w:hAnsi="Times New Roman" w:eastAsia="方正小标宋_GBK" w:cs="Times New Roman"/>
        </w:rPr>
      </w:pPr>
      <w:r>
        <w:rPr>
          <w:rFonts w:ascii="Times New Roman" w:hAnsi="Times New Roman" w:eastAsia="方正小标宋_GBK" w:cs="Times New Roman"/>
        </w:rPr>
        <w:t>第四章 评标原则</w:t>
      </w:r>
    </w:p>
    <w:p w14:paraId="2CD27264">
      <w:pPr>
        <w:spacing w:line="520" w:lineRule="exact"/>
        <w:ind w:firstLine="640" w:firstLineChars="200"/>
        <w:rPr>
          <w:rFonts w:ascii="Times New Roman" w:hAnsi="Times New Roman" w:eastAsia="方正仿宋_GBK" w:cs="Times New Roman"/>
          <w:bCs/>
          <w:kern w:val="0"/>
          <w:sz w:val="32"/>
          <w:szCs w:val="32"/>
          <w:lang w:bidi="en-US"/>
        </w:rPr>
      </w:pPr>
      <w:bookmarkStart w:id="218" w:name="_Toc531594799"/>
      <w:bookmarkStart w:id="219" w:name="_Toc454373093"/>
      <w:bookmarkStart w:id="220" w:name="_Toc481694471"/>
      <w:bookmarkStart w:id="221" w:name="_Toc484637076"/>
      <w:r>
        <w:rPr>
          <w:rFonts w:hint="eastAsia" w:ascii="Times New Roman" w:hAnsi="Times New Roman" w:eastAsia="方正仿宋_GBK" w:cs="Times New Roman"/>
          <w:bCs/>
          <w:kern w:val="0"/>
          <w:sz w:val="32"/>
          <w:szCs w:val="32"/>
          <w:lang w:bidi="en-US"/>
        </w:rPr>
        <w:t>本项目采用评分法，</w:t>
      </w:r>
      <w:r>
        <w:rPr>
          <w:rFonts w:ascii="Times New Roman" w:hAnsi="Times New Roman" w:eastAsia="方正仿宋_GBK" w:cs="Times New Roman"/>
          <w:bCs/>
          <w:kern w:val="0"/>
          <w:sz w:val="32"/>
          <w:szCs w:val="32"/>
          <w:lang w:bidi="en-US"/>
        </w:rPr>
        <w:t>满分 100 分。评审因素包括投标报价、技术参数响应、实施部署方案、售后服务能力、培训与验收保障等内容。评审过程中应坚持公平、公正、科学、择优原则，不以特定品牌、特定型号、特定厂家授权、特定地区或特定行业业绩作为评审条件。</w:t>
      </w:r>
    </w:p>
    <w:tbl>
      <w:tblPr>
        <w:tblStyle w:val="43"/>
        <w:tblW w:w="8528"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254"/>
        <w:gridCol w:w="916"/>
        <w:gridCol w:w="6358"/>
      </w:tblGrid>
      <w:tr w14:paraId="71E59B1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blHeader/>
          <w:jc w:val="center"/>
        </w:trPr>
        <w:tc>
          <w:tcPr>
            <w:tcW w:w="0" w:type="auto"/>
            <w:tcBorders>
              <w:top w:val="single" w:color="000000" w:sz="4" w:space="0"/>
              <w:left w:val="single" w:color="000000" w:sz="4" w:space="0"/>
              <w:bottom w:val="nil"/>
              <w:right w:val="nil"/>
              <w:tl2br w:val="nil"/>
            </w:tcBorders>
            <w:shd w:val="clear" w:color="auto" w:fill="FFFFFF"/>
            <w:tcMar>
              <w:top w:w="-1" w:type="dxa"/>
              <w:left w:w="-1" w:type="dxa"/>
              <w:bottom w:w="-1" w:type="dxa"/>
              <w:right w:w="-1" w:type="dxa"/>
            </w:tcMar>
            <w:vAlign w:val="center"/>
          </w:tcPr>
          <w:p w14:paraId="7708A4FC">
            <w:pPr>
              <w:snapToGrid w:val="0"/>
              <w:jc w:val="center"/>
              <w:rPr>
                <w:rFonts w:ascii="Times New Roman" w:hAnsi="Times New Roman" w:eastAsia="方正仿宋_GBK" w:cs="Times New Roman"/>
                <w:b/>
                <w:color w:val="000000"/>
                <w:szCs w:val="24"/>
              </w:rPr>
            </w:pPr>
            <w:r>
              <w:rPr>
                <w:rFonts w:hint="eastAsia" w:ascii="Times New Roman" w:hAnsi="Times New Roman" w:eastAsia="方正仿宋_GBK" w:cs="Times New Roman"/>
                <w:b/>
                <w:color w:val="000000"/>
                <w:szCs w:val="24"/>
              </w:rPr>
              <w:t>评分项目</w:t>
            </w:r>
          </w:p>
        </w:tc>
        <w:tc>
          <w:tcPr>
            <w:tcW w:w="916" w:type="dxa"/>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21AE55E1">
            <w:pPr>
              <w:snapToGrid w:val="0"/>
              <w:jc w:val="center"/>
              <w:rPr>
                <w:rFonts w:ascii="Times New Roman" w:hAnsi="Times New Roman" w:eastAsia="方正仿宋_GBK" w:cs="Times New Roman"/>
                <w:b/>
                <w:color w:val="000000"/>
                <w:szCs w:val="24"/>
              </w:rPr>
            </w:pPr>
            <w:r>
              <w:rPr>
                <w:rFonts w:hint="eastAsia" w:ascii="Times New Roman" w:hAnsi="Times New Roman" w:eastAsia="方正仿宋_GBK" w:cs="Times New Roman"/>
                <w:b/>
                <w:color w:val="000000"/>
                <w:szCs w:val="24"/>
              </w:rPr>
              <w:t>分值</w:t>
            </w:r>
          </w:p>
        </w:tc>
        <w:tc>
          <w:tcPr>
            <w:tcW w:w="6358" w:type="dxa"/>
            <w:tcBorders>
              <w:top w:val="single" w:color="000000" w:sz="4" w:space="0"/>
              <w:left w:val="single" w:color="000000" w:sz="4" w:space="0"/>
              <w:bottom w:val="nil"/>
              <w:right w:val="single" w:color="000000" w:sz="4" w:space="0"/>
            </w:tcBorders>
            <w:shd w:val="clear" w:color="auto" w:fill="FFFFFF"/>
            <w:tcMar>
              <w:top w:w="-1" w:type="dxa"/>
              <w:left w:w="-1" w:type="dxa"/>
              <w:bottom w:w="-1" w:type="dxa"/>
              <w:right w:w="-1" w:type="dxa"/>
            </w:tcMar>
            <w:vAlign w:val="center"/>
          </w:tcPr>
          <w:p w14:paraId="382155CE">
            <w:pPr>
              <w:snapToGrid w:val="0"/>
              <w:jc w:val="center"/>
              <w:rPr>
                <w:rFonts w:ascii="Times New Roman" w:hAnsi="Times New Roman" w:eastAsia="方正仿宋_GBK" w:cs="Times New Roman"/>
                <w:b/>
                <w:color w:val="000000"/>
                <w:szCs w:val="24"/>
              </w:rPr>
            </w:pPr>
            <w:r>
              <w:rPr>
                <w:rFonts w:hint="eastAsia" w:ascii="Times New Roman" w:hAnsi="Times New Roman" w:eastAsia="方正仿宋_GBK" w:cs="Times New Roman"/>
                <w:b/>
                <w:color w:val="000000"/>
                <w:szCs w:val="24"/>
              </w:rPr>
              <w:t>评分标准</w:t>
            </w:r>
          </w:p>
        </w:tc>
      </w:tr>
      <w:tr w14:paraId="2DF1C5D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107BF111">
            <w:pPr>
              <w:snapToGrid w:val="0"/>
              <w:jc w:val="center"/>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1. 投标报价</w:t>
            </w:r>
          </w:p>
        </w:tc>
        <w:tc>
          <w:tcPr>
            <w:tcW w:w="916" w:type="dxa"/>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7DDBCAB3">
            <w:pPr>
              <w:snapToGrid w:val="0"/>
              <w:jc w:val="center"/>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30</w:t>
            </w:r>
          </w:p>
        </w:tc>
        <w:tc>
          <w:tcPr>
            <w:tcW w:w="6358" w:type="dxa"/>
            <w:tcBorders>
              <w:top w:val="single" w:color="000000" w:sz="4" w:space="0"/>
              <w:left w:val="single" w:color="000000" w:sz="4" w:space="0"/>
              <w:bottom w:val="nil"/>
              <w:right w:val="single" w:color="000000" w:sz="4" w:space="0"/>
            </w:tcBorders>
            <w:shd w:val="clear" w:color="auto" w:fill="FFFFFF"/>
            <w:tcMar>
              <w:top w:w="-1" w:type="dxa"/>
              <w:left w:w="-1" w:type="dxa"/>
              <w:bottom w:w="-1" w:type="dxa"/>
              <w:right w:w="-1" w:type="dxa"/>
            </w:tcMar>
            <w:vAlign w:val="center"/>
          </w:tcPr>
          <w:p w14:paraId="73FC37B3">
            <w:pPr>
              <w:snapToGrid w:val="0"/>
              <w:jc w:val="left"/>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满足采购文件要求且投标报价最低的有效投标报价为评审基准价，价格分 =（评审基准价 / 有效投标报价）×30。计算结果保留两位小数。</w:t>
            </w:r>
          </w:p>
        </w:tc>
      </w:tr>
      <w:tr w14:paraId="768580B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2F3F8DAB">
            <w:pPr>
              <w:snapToGrid w:val="0"/>
              <w:jc w:val="center"/>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2. 技术参数响应</w:t>
            </w:r>
          </w:p>
        </w:tc>
        <w:tc>
          <w:tcPr>
            <w:tcW w:w="916" w:type="dxa"/>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342A9451">
            <w:pPr>
              <w:snapToGrid w:val="0"/>
              <w:jc w:val="center"/>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35</w:t>
            </w:r>
          </w:p>
        </w:tc>
        <w:tc>
          <w:tcPr>
            <w:tcW w:w="6358" w:type="dxa"/>
            <w:tcBorders>
              <w:top w:val="single" w:color="000000" w:sz="4" w:space="0"/>
              <w:left w:val="single" w:color="000000" w:sz="4" w:space="0"/>
              <w:bottom w:val="nil"/>
              <w:right w:val="single" w:color="000000" w:sz="4" w:space="0"/>
            </w:tcBorders>
            <w:shd w:val="clear" w:color="auto" w:fill="FFFFFF"/>
            <w:tcMar>
              <w:top w:w="-1" w:type="dxa"/>
              <w:left w:w="-1" w:type="dxa"/>
              <w:bottom w:w="-1" w:type="dxa"/>
              <w:right w:w="-1" w:type="dxa"/>
            </w:tcMar>
            <w:vAlign w:val="center"/>
          </w:tcPr>
          <w:p w14:paraId="6088ADEF">
            <w:pPr>
              <w:snapToGrid w:val="0"/>
              <w:jc w:val="left"/>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全部满足采购文件技术参数要求的，得30分；每有1项一般技术参数负偏离扣1分，扣完为止。在满足全部基本技术参数的基础上，对以下优于采购需求的配置进行加分，最高5分：通用服务器标配 10GbE 网络接口且满足网络冗余要求的，得1分；通用服务器或 AI 服务器配置企业级 SSD/NVMe 高速数据盘的，得1分；AI 服务器整机 GPU 显存总容量高于 192GB 的，得1分；AI 服务器提供明确的单卡/整机 AI TOPS、显存带宽、功耗、计算精度和公开证明材料的，得1分；AI 服务器提供完整的 GPU 驱动、容器环境、AI 框架、测试脚本和部署文档的，得1分。</w:t>
            </w:r>
          </w:p>
        </w:tc>
      </w:tr>
      <w:tr w14:paraId="4156ACD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7AA8C778">
            <w:pPr>
              <w:snapToGrid w:val="0"/>
              <w:jc w:val="center"/>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3. AI 算力及本地化部署能力</w:t>
            </w:r>
          </w:p>
        </w:tc>
        <w:tc>
          <w:tcPr>
            <w:tcW w:w="916" w:type="dxa"/>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37F94DB1">
            <w:pPr>
              <w:snapToGrid w:val="0"/>
              <w:jc w:val="center"/>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10</w:t>
            </w:r>
          </w:p>
        </w:tc>
        <w:tc>
          <w:tcPr>
            <w:tcW w:w="6358" w:type="dxa"/>
            <w:tcBorders>
              <w:top w:val="single" w:color="000000" w:sz="4" w:space="0"/>
              <w:left w:val="single" w:color="000000" w:sz="4" w:space="0"/>
              <w:bottom w:val="nil"/>
              <w:right w:val="single" w:color="000000" w:sz="4" w:space="0"/>
            </w:tcBorders>
            <w:shd w:val="clear" w:color="auto" w:fill="FFFFFF"/>
            <w:tcMar>
              <w:top w:w="-1" w:type="dxa"/>
              <w:left w:w="-1" w:type="dxa"/>
              <w:bottom w:w="-1" w:type="dxa"/>
              <w:right w:w="-1" w:type="dxa"/>
            </w:tcMar>
            <w:vAlign w:val="center"/>
          </w:tcPr>
          <w:p w14:paraId="722645F5">
            <w:pPr>
              <w:snapToGrid w:val="0"/>
              <w:jc w:val="left"/>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根据 AI 算力服务器对本地化 AI 应用支撑能力进行评分。GPU 数量、单卡显存、整机显存总容量、多卡并行能力、AI 框架兼容性、GPU 驱动及容器环境部署方案完整的，得 6分；投标人能够明确说明所投 GPU 的计算精度口径、理论算力指标、显存带宽、功耗及证明材料的，得2分；能够结合学校教学、科研、模型推理、轻量化微调等场景提出合理本地化部署方案的，得2分。</w:t>
            </w:r>
          </w:p>
        </w:tc>
      </w:tr>
      <w:tr w14:paraId="0F20A3B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35323A48">
            <w:pPr>
              <w:numPr>
                <w:ilvl w:val="0"/>
                <w:numId w:val="15"/>
              </w:numPr>
              <w:snapToGrid w:val="0"/>
              <w:jc w:val="center"/>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项目实施方案</w:t>
            </w:r>
          </w:p>
        </w:tc>
        <w:tc>
          <w:tcPr>
            <w:tcW w:w="916" w:type="dxa"/>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62F2A522">
            <w:pPr>
              <w:snapToGrid w:val="0"/>
              <w:jc w:val="center"/>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10</w:t>
            </w:r>
          </w:p>
        </w:tc>
        <w:tc>
          <w:tcPr>
            <w:tcW w:w="6358" w:type="dxa"/>
            <w:tcBorders>
              <w:top w:val="single" w:color="000000" w:sz="4" w:space="0"/>
              <w:left w:val="single" w:color="000000" w:sz="4" w:space="0"/>
              <w:bottom w:val="nil"/>
              <w:right w:val="single" w:color="000000" w:sz="4" w:space="0"/>
            </w:tcBorders>
            <w:shd w:val="clear" w:color="auto" w:fill="FFFFFF"/>
            <w:tcMar>
              <w:top w:w="-1" w:type="dxa"/>
              <w:left w:w="-1" w:type="dxa"/>
              <w:bottom w:w="-1" w:type="dxa"/>
              <w:right w:w="-1" w:type="dxa"/>
            </w:tcMar>
            <w:vAlign w:val="center"/>
          </w:tcPr>
          <w:p w14:paraId="11B60669">
            <w:pPr>
              <w:snapToGrid w:val="0"/>
              <w:jc w:val="left"/>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根据供应商提供的项目实施方案进行评分。方案内容包括设备供货、运输搬运、上架安装、布线标识、系统初始化、RAID 配置、网络调试、远程管理配置、AI 环境部署、测试计划、进度安排及风险控制等。方案完整、可操作性强、进度安排合理的，得8—10分；方案基本完整但细节一般的，得4—7分；方案简单或针对性不足的，得0分。</w:t>
            </w:r>
          </w:p>
        </w:tc>
      </w:tr>
      <w:tr w14:paraId="1DA9DB2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723483F5">
            <w:pPr>
              <w:numPr>
                <w:ilvl w:val="0"/>
                <w:numId w:val="15"/>
              </w:numPr>
              <w:snapToGrid w:val="0"/>
              <w:jc w:val="center"/>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售后服务方案</w:t>
            </w:r>
          </w:p>
        </w:tc>
        <w:tc>
          <w:tcPr>
            <w:tcW w:w="916" w:type="dxa"/>
            <w:tcBorders>
              <w:top w:val="single" w:color="000000" w:sz="4" w:space="0"/>
              <w:left w:val="single" w:color="000000" w:sz="4" w:space="0"/>
              <w:bottom w:val="nil"/>
              <w:right w:val="nil"/>
            </w:tcBorders>
            <w:shd w:val="clear" w:color="auto" w:fill="FFFFFF"/>
            <w:tcMar>
              <w:top w:w="-1" w:type="dxa"/>
              <w:left w:w="-1" w:type="dxa"/>
              <w:bottom w:w="-1" w:type="dxa"/>
              <w:right w:w="-1" w:type="dxa"/>
            </w:tcMar>
            <w:vAlign w:val="center"/>
          </w:tcPr>
          <w:p w14:paraId="63B732DB">
            <w:pPr>
              <w:snapToGrid w:val="0"/>
              <w:jc w:val="center"/>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10</w:t>
            </w:r>
          </w:p>
        </w:tc>
        <w:tc>
          <w:tcPr>
            <w:tcW w:w="6358" w:type="dxa"/>
            <w:tcBorders>
              <w:top w:val="single" w:color="000000" w:sz="4" w:space="0"/>
              <w:left w:val="single" w:color="000000" w:sz="4" w:space="0"/>
              <w:bottom w:val="nil"/>
              <w:right w:val="single" w:color="000000" w:sz="4" w:space="0"/>
            </w:tcBorders>
            <w:shd w:val="clear" w:color="auto" w:fill="FFFFFF"/>
            <w:tcMar>
              <w:top w:w="-1" w:type="dxa"/>
              <w:left w:w="-1" w:type="dxa"/>
              <w:bottom w:w="-1" w:type="dxa"/>
              <w:right w:w="-1" w:type="dxa"/>
            </w:tcMar>
            <w:vAlign w:val="center"/>
          </w:tcPr>
          <w:p w14:paraId="0626E849">
            <w:pPr>
              <w:snapToGrid w:val="0"/>
              <w:jc w:val="left"/>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根据售后服务承诺、响应机制、故障处理、备品备件、技术支持等情况评分。提供不少于3年免费整机质保，响应时间、到场时间、故障处理流程明确，能够提供 7×24 小时技术支持的，得6分；对 GPU、硬盘、电源、RAID 卡等关键部件故障有明确处置措施的，得2分；质保期后仍能提供持续技术支持和备品备件服务的，得2分。</w:t>
            </w:r>
          </w:p>
        </w:tc>
      </w:tr>
      <w:tr w14:paraId="4A0448D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254" w:type="dxa"/>
            <w:tcBorders>
              <w:top w:val="single" w:color="000000" w:sz="4" w:space="0"/>
              <w:left w:val="single" w:color="000000" w:sz="4" w:space="0"/>
              <w:bottom w:val="single" w:color="000000" w:sz="4" w:space="0"/>
              <w:right w:val="nil"/>
            </w:tcBorders>
            <w:shd w:val="clear" w:color="auto" w:fill="FFFFFF"/>
            <w:tcMar>
              <w:top w:w="-1" w:type="dxa"/>
              <w:left w:w="-1" w:type="dxa"/>
              <w:bottom w:w="-1" w:type="dxa"/>
              <w:right w:w="-1" w:type="dxa"/>
            </w:tcMar>
            <w:vAlign w:val="center"/>
          </w:tcPr>
          <w:p w14:paraId="1848A469">
            <w:pPr>
              <w:numPr>
                <w:ilvl w:val="0"/>
                <w:numId w:val="15"/>
              </w:numPr>
              <w:snapToGrid w:val="0"/>
              <w:jc w:val="center"/>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培训及文档资料</w:t>
            </w:r>
            <w:r>
              <w:rPr>
                <w:rFonts w:hint="eastAsia" w:ascii="Times New Roman" w:hAnsi="Times New Roman" w:eastAsia="方正仿宋_GBK" w:cs="Times New Roman"/>
                <w:color w:val="auto"/>
                <w:szCs w:val="24"/>
                <w:lang w:val="en-US" w:eastAsia="zh-CN"/>
              </w:rPr>
              <w:t>(</w:t>
            </w:r>
            <w:r>
              <w:rPr>
                <w:rFonts w:hint="eastAsia" w:ascii="Times New Roman" w:hAnsi="Times New Roman" w:eastAsia="方正仿宋_GBK" w:cs="Times New Roman"/>
                <w:color w:val="auto"/>
                <w:szCs w:val="24"/>
              </w:rPr>
              <w:t>评审时提供</w:t>
            </w:r>
            <w:r>
              <w:rPr>
                <w:rFonts w:hint="eastAsia" w:ascii="Times New Roman" w:hAnsi="Times New Roman" w:eastAsia="方正仿宋_GBK" w:cs="Times New Roman"/>
                <w:color w:val="auto"/>
                <w:szCs w:val="24"/>
                <w:lang w:val="en-US" w:eastAsia="zh-CN"/>
              </w:rPr>
              <w:t>)</w:t>
            </w:r>
          </w:p>
        </w:tc>
        <w:tc>
          <w:tcPr>
            <w:tcW w:w="916" w:type="dxa"/>
            <w:tcBorders>
              <w:top w:val="single" w:color="000000" w:sz="4" w:space="0"/>
              <w:left w:val="single" w:color="000000" w:sz="4" w:space="0"/>
              <w:bottom w:val="single" w:color="000000" w:sz="4" w:space="0"/>
              <w:right w:val="nil"/>
            </w:tcBorders>
            <w:shd w:val="clear" w:color="auto" w:fill="FFFFFF"/>
            <w:tcMar>
              <w:top w:w="-1" w:type="dxa"/>
              <w:left w:w="-1" w:type="dxa"/>
              <w:bottom w:w="-1" w:type="dxa"/>
              <w:right w:w="-1" w:type="dxa"/>
            </w:tcMar>
            <w:vAlign w:val="center"/>
          </w:tcPr>
          <w:p w14:paraId="35D809B1">
            <w:pPr>
              <w:snapToGrid w:val="0"/>
              <w:jc w:val="center"/>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5</w:t>
            </w:r>
          </w:p>
        </w:tc>
        <w:tc>
          <w:tcPr>
            <w:tcW w:w="6358"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3BF891F5">
            <w:pPr>
              <w:snapToGrid w:val="0"/>
              <w:jc w:val="left"/>
              <w:rPr>
                <w:rFonts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能够提供现场培训、基础运维培训、AI 环境使用培训及完整技术资料的，得5分。培训和资料内容包括设备清单、配置清单、序列号清单、RAID 配置说明、网络配置说明、AI 环境部署说明。内容不完整的，酌情扣分。</w:t>
            </w:r>
          </w:p>
        </w:tc>
      </w:tr>
      <w:tr w14:paraId="3D806C9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254" w:type="dxa"/>
            <w:tcBorders>
              <w:top w:val="single" w:color="000000" w:sz="4" w:space="0"/>
              <w:left w:val="single" w:color="000000" w:sz="4" w:space="0"/>
              <w:bottom w:val="single" w:color="000000" w:sz="4" w:space="0"/>
              <w:right w:val="nil"/>
            </w:tcBorders>
            <w:shd w:val="clear" w:color="auto" w:fill="FFFFFF"/>
            <w:tcMar>
              <w:top w:w="-1" w:type="dxa"/>
              <w:left w:w="-1" w:type="dxa"/>
              <w:bottom w:w="-1" w:type="dxa"/>
              <w:right w:w="-1" w:type="dxa"/>
            </w:tcMar>
            <w:vAlign w:val="center"/>
          </w:tcPr>
          <w:p w14:paraId="54FBA097">
            <w:pPr>
              <w:numPr>
                <w:ilvl w:val="0"/>
                <w:numId w:val="15"/>
              </w:numPr>
              <w:snapToGrid w:val="0"/>
              <w:jc w:val="center"/>
              <w:rPr>
                <w:rFonts w:hint="eastAsia"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总分</w:t>
            </w:r>
          </w:p>
        </w:tc>
        <w:tc>
          <w:tcPr>
            <w:tcW w:w="916" w:type="dxa"/>
            <w:tcBorders>
              <w:top w:val="single" w:color="000000" w:sz="4" w:space="0"/>
              <w:left w:val="single" w:color="000000" w:sz="4" w:space="0"/>
              <w:bottom w:val="single" w:color="000000" w:sz="4" w:space="0"/>
              <w:right w:val="nil"/>
            </w:tcBorders>
            <w:shd w:val="clear" w:color="auto" w:fill="FFFFFF"/>
            <w:tcMar>
              <w:top w:w="-1" w:type="dxa"/>
              <w:left w:w="-1" w:type="dxa"/>
              <w:bottom w:w="-1" w:type="dxa"/>
              <w:right w:w="-1" w:type="dxa"/>
            </w:tcMar>
            <w:vAlign w:val="center"/>
          </w:tcPr>
          <w:p w14:paraId="544CAB2E">
            <w:pPr>
              <w:snapToGrid w:val="0"/>
              <w:jc w:val="center"/>
              <w:rPr>
                <w:rFonts w:hint="eastAsia" w:ascii="Times New Roman" w:hAnsi="Times New Roman" w:eastAsia="方正仿宋_GBK" w:cs="Times New Roman"/>
                <w:color w:val="000000"/>
                <w:szCs w:val="24"/>
              </w:rPr>
            </w:pPr>
            <w:r>
              <w:rPr>
                <w:rFonts w:hint="eastAsia" w:ascii="Times New Roman" w:hAnsi="Times New Roman" w:eastAsia="方正仿宋_GBK" w:cs="Times New Roman"/>
                <w:color w:val="000000"/>
                <w:szCs w:val="24"/>
              </w:rPr>
              <w:t>100</w:t>
            </w:r>
          </w:p>
        </w:tc>
        <w:tc>
          <w:tcPr>
            <w:tcW w:w="6358"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1C4FD3E3">
            <w:pPr>
              <w:snapToGrid w:val="0"/>
              <w:jc w:val="left"/>
              <w:rPr>
                <w:rFonts w:hint="eastAsia" w:ascii="Times New Roman" w:hAnsi="Times New Roman" w:eastAsia="方正仿宋_GBK" w:cs="Times New Roman"/>
                <w:color w:val="000000"/>
                <w:szCs w:val="24"/>
              </w:rPr>
            </w:pPr>
          </w:p>
        </w:tc>
      </w:tr>
    </w:tbl>
    <w:p w14:paraId="799566F0">
      <w:pPr>
        <w:rPr>
          <w:rFonts w:hint="eastAsia" w:ascii="方正小标宋_GBK" w:hAnsi="方正小标宋_GBK" w:eastAsia="方正小标宋_GBK" w:cs="方正小标宋_GBK"/>
        </w:rPr>
      </w:pPr>
      <w:bookmarkStart w:id="222" w:name="_第五章_投标文件格式"/>
      <w:r>
        <w:rPr>
          <w:rFonts w:ascii="方正小标宋_GBK" w:hAnsi="方正小标宋_GBK" w:eastAsia="方正小标宋_GBK" w:cs="方正小标宋_GBK"/>
        </w:rPr>
        <w:br w:type="page"/>
      </w:r>
    </w:p>
    <w:p w14:paraId="6A041025">
      <w:pPr>
        <w:pStyle w:val="2"/>
        <w:numPr>
          <w:ilvl w:val="0"/>
          <w:numId w:val="0"/>
        </w:numPr>
        <w:spacing w:before="0" w:after="0" w:line="520" w:lineRule="exact"/>
        <w:jc w:val="center"/>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rPr>
        <w:t>第五章 投标文件格式</w:t>
      </w:r>
      <w:bookmarkEnd w:id="218"/>
      <w:bookmarkEnd w:id="219"/>
      <w:bookmarkEnd w:id="220"/>
      <w:bookmarkEnd w:id="221"/>
    </w:p>
    <w:bookmarkEnd w:id="222"/>
    <w:p w14:paraId="38EC56DA">
      <w:pPr>
        <w:spacing w:line="520" w:lineRule="exact"/>
        <w:rPr>
          <w:rFonts w:hint="eastAsia" w:ascii="仿宋" w:hAnsi="仿宋" w:eastAsia="仿宋" w:cs="仿宋"/>
          <w:b/>
          <w:sz w:val="28"/>
          <w:szCs w:val="28"/>
        </w:rPr>
      </w:pPr>
      <w:bookmarkStart w:id="223" w:name="_Toc425408086"/>
      <w:bookmarkStart w:id="224" w:name="_Toc217446082"/>
      <w:r>
        <w:rPr>
          <w:rFonts w:hint="eastAsia" w:ascii="仿宋" w:hAnsi="仿宋" w:eastAsia="仿宋" w:cs="仿宋"/>
          <w:b/>
          <w:sz w:val="28"/>
          <w:szCs w:val="28"/>
        </w:rPr>
        <w:t>一、投 标 函</w:t>
      </w:r>
      <w:bookmarkEnd w:id="223"/>
      <w:bookmarkEnd w:id="224"/>
    </w:p>
    <w:p w14:paraId="5DCCB9E4">
      <w:pPr>
        <w:spacing w:line="520" w:lineRule="exact"/>
        <w:ind w:firstLine="280" w:firstLineChars="1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（采购人）：</w:t>
      </w:r>
    </w:p>
    <w:p w14:paraId="120451B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我方全面研究了“  ”项目招标文件，决定参加贵单位组织的本项目投标。我方授权（姓名、职务）代表我方（投标单位的名称）全权处理本项目投标的有关事宜。</w:t>
      </w:r>
    </w:p>
    <w:p w14:paraId="4ABFDD47">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1.我方自愿按照招标文件规定的各项要求向采购人提供所需货物/服务，总投标价为人民币    万元（大写：）。</w:t>
      </w:r>
    </w:p>
    <w:p w14:paraId="3D98DA0A">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2.一旦我方中标，我方将严格履行合同规定的责任和义务，保证于合同签字生效后</w:t>
      </w:r>
      <w:r>
        <w:rPr>
          <w:rFonts w:hint="eastAsia" w:ascii="仿宋" w:hAnsi="仿宋" w:eastAsia="仿宋" w:cs="仿宋"/>
          <w:sz w:val="28"/>
          <w:szCs w:val="28"/>
          <w:u w:val="single"/>
        </w:rPr>
        <w:t xml:space="preserve">       </w:t>
      </w:r>
      <w:r>
        <w:rPr>
          <w:rFonts w:hint="eastAsia" w:ascii="仿宋" w:hAnsi="仿宋" w:eastAsia="仿宋" w:cs="仿宋"/>
          <w:sz w:val="28"/>
          <w:szCs w:val="28"/>
        </w:rPr>
        <w:t>日内完成项目的安装、调试，并交付采购人验收、使用。</w:t>
      </w:r>
    </w:p>
    <w:p w14:paraId="2BF18508">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3.我方为本项目提交的投标文件正本</w:t>
      </w:r>
      <w:r>
        <w:rPr>
          <w:rFonts w:hint="eastAsia" w:ascii="仿宋" w:hAnsi="仿宋" w:eastAsia="仿宋" w:cs="仿宋"/>
          <w:sz w:val="28"/>
          <w:szCs w:val="28"/>
          <w:u w:val="single"/>
        </w:rPr>
        <w:t xml:space="preserve">  </w:t>
      </w:r>
      <w:r>
        <w:rPr>
          <w:rFonts w:hint="eastAsia" w:ascii="仿宋" w:hAnsi="仿宋" w:eastAsia="仿宋" w:cs="仿宋"/>
          <w:sz w:val="28"/>
          <w:szCs w:val="28"/>
        </w:rPr>
        <w:t>份，副本</w:t>
      </w:r>
      <w:r>
        <w:rPr>
          <w:rFonts w:hint="eastAsia" w:ascii="仿宋" w:hAnsi="仿宋" w:eastAsia="仿宋" w:cs="仿宋"/>
          <w:sz w:val="28"/>
          <w:szCs w:val="28"/>
          <w:u w:val="single"/>
        </w:rPr>
        <w:t xml:space="preserve">  </w:t>
      </w:r>
      <w:r>
        <w:rPr>
          <w:rFonts w:hint="eastAsia" w:ascii="仿宋" w:hAnsi="仿宋" w:eastAsia="仿宋" w:cs="仿宋"/>
          <w:sz w:val="28"/>
          <w:szCs w:val="28"/>
        </w:rPr>
        <w:t>份，用于开标唱标的“开标一览</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p>
    <w:p w14:paraId="6B893DC0">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4.我方愿意提供贵单位可能另外要求的，与投标有关的文件资料，并保证我方已提供和将要提供的文件资料是真实、准确的。</w:t>
      </w:r>
    </w:p>
    <w:p w14:paraId="0B12D14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5.我方完全理解采购人不一定将合同授予最低报价的投标人的行为。</w:t>
      </w:r>
    </w:p>
    <w:p w14:paraId="6BF38B99">
      <w:pPr>
        <w:spacing w:line="520" w:lineRule="exact"/>
        <w:ind w:firstLine="537" w:firstLineChars="192"/>
        <w:rPr>
          <w:rFonts w:hint="eastAsia" w:ascii="仿宋" w:hAnsi="仿宋" w:eastAsia="仿宋" w:cs="仿宋"/>
          <w:sz w:val="28"/>
          <w:szCs w:val="28"/>
        </w:rPr>
      </w:pPr>
    </w:p>
    <w:p w14:paraId="793F619E">
      <w:pPr>
        <w:spacing w:line="520" w:lineRule="exact"/>
        <w:ind w:firstLine="537" w:firstLineChars="192"/>
        <w:rPr>
          <w:rFonts w:hint="eastAsia" w:ascii="仿宋" w:hAnsi="仿宋" w:eastAsia="仿宋" w:cs="仿宋"/>
          <w:sz w:val="28"/>
          <w:szCs w:val="28"/>
        </w:rPr>
      </w:pPr>
    </w:p>
    <w:p w14:paraId="0F90E01D">
      <w:pPr>
        <w:spacing w:line="520" w:lineRule="exact"/>
        <w:ind w:firstLine="537" w:firstLineChars="192"/>
        <w:rPr>
          <w:rFonts w:hint="eastAsia" w:ascii="仿宋" w:hAnsi="仿宋" w:eastAsia="仿宋" w:cs="仿宋"/>
          <w:sz w:val="28"/>
          <w:szCs w:val="28"/>
        </w:rPr>
      </w:pPr>
    </w:p>
    <w:p w14:paraId="483768F7">
      <w:pPr>
        <w:spacing w:line="520" w:lineRule="exact"/>
        <w:rPr>
          <w:rFonts w:hint="eastAsia" w:ascii="仿宋" w:hAnsi="仿宋" w:eastAsia="仿宋" w:cs="仿宋"/>
          <w:sz w:val="28"/>
          <w:szCs w:val="28"/>
        </w:rPr>
      </w:pPr>
    </w:p>
    <w:p w14:paraId="77D0E00B">
      <w:pPr>
        <w:spacing w:line="520" w:lineRule="exact"/>
        <w:rPr>
          <w:rFonts w:hint="eastAsia" w:ascii="仿宋" w:hAnsi="仿宋" w:eastAsia="仿宋" w:cs="仿宋"/>
          <w:sz w:val="28"/>
          <w:szCs w:val="28"/>
        </w:rPr>
      </w:pPr>
    </w:p>
    <w:p w14:paraId="11891FBA">
      <w:pPr>
        <w:spacing w:line="520" w:lineRule="exact"/>
        <w:rPr>
          <w:rFonts w:hint="eastAsia" w:ascii="仿宋" w:hAnsi="仿宋" w:eastAsia="仿宋" w:cs="仿宋"/>
          <w:sz w:val="28"/>
          <w:szCs w:val="28"/>
        </w:rPr>
      </w:pPr>
    </w:p>
    <w:p w14:paraId="10C2AE1D">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 xml:space="preserve">投标人名称（盖章）：        </w:t>
      </w:r>
    </w:p>
    <w:p w14:paraId="179E54F8">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法定代表人或授权代表（签字）：</w:t>
      </w:r>
    </w:p>
    <w:p w14:paraId="302E7E0B">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日    期：</w:t>
      </w:r>
    </w:p>
    <w:p w14:paraId="622D6D8C">
      <w:pPr>
        <w:spacing w:line="520" w:lineRule="exact"/>
        <w:rPr>
          <w:rFonts w:hint="eastAsia" w:ascii="仿宋" w:hAnsi="仿宋" w:eastAsia="仿宋" w:cs="仿宋"/>
          <w:b/>
          <w:sz w:val="28"/>
          <w:szCs w:val="28"/>
        </w:rPr>
      </w:pPr>
      <w:bookmarkStart w:id="225" w:name="_Toc425408087"/>
    </w:p>
    <w:p w14:paraId="666D49E9">
      <w:pPr>
        <w:spacing w:line="520" w:lineRule="exact"/>
        <w:rPr>
          <w:rFonts w:hint="eastAsia" w:ascii="仿宋" w:hAnsi="仿宋" w:eastAsia="仿宋" w:cs="仿宋"/>
          <w:b/>
          <w:sz w:val="28"/>
          <w:szCs w:val="28"/>
        </w:rPr>
      </w:pPr>
      <w:r>
        <w:rPr>
          <w:rFonts w:hint="eastAsia" w:ascii="仿宋" w:hAnsi="仿宋" w:eastAsia="仿宋" w:cs="仿宋"/>
          <w:b/>
          <w:sz w:val="28"/>
          <w:szCs w:val="28"/>
        </w:rPr>
        <w:t>二、法定代表人授权书</w:t>
      </w:r>
      <w:bookmarkEnd w:id="225"/>
    </w:p>
    <w:p w14:paraId="09B966A2">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__________________（采购人）：</w:t>
      </w:r>
    </w:p>
    <w:p w14:paraId="28A3196A">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本授权声明：（投标人名称）（法定代表人姓名、职务）授权（被授权人姓名、职务）为我方 “ ” 项目投标活动的合法代表，以我方名义全权处理该项目有关投标、签订合同以及执行合同等一切事宜。</w:t>
      </w:r>
    </w:p>
    <w:p w14:paraId="1412B2B4">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特此声明。</w:t>
      </w:r>
    </w:p>
    <w:p w14:paraId="3D117379">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法定代表人签字：</w:t>
      </w:r>
    </w:p>
    <w:p w14:paraId="6187B768">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授权代表签字：</w:t>
      </w:r>
    </w:p>
    <w:p w14:paraId="2E93F171">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 xml:space="preserve">投标人名称（盖章）：         </w:t>
      </w:r>
    </w:p>
    <w:p w14:paraId="2AD942D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    期：</w:t>
      </w:r>
    </w:p>
    <w:p w14:paraId="2337633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附：法定代表人及被授权人身份证身印件　　</w:t>
      </w:r>
    </w:p>
    <w:p w14:paraId="6F63E294">
      <w:pPr>
        <w:spacing w:line="520" w:lineRule="exact"/>
        <w:ind w:firstLine="537" w:firstLineChars="192"/>
        <w:rPr>
          <w:rFonts w:hint="eastAsia" w:ascii="仿宋" w:hAnsi="仿宋" w:eastAsia="仿宋" w:cs="仿宋"/>
          <w:sz w:val="28"/>
          <w:szCs w:val="28"/>
        </w:rPr>
      </w:pPr>
    </w:p>
    <w:p w14:paraId="76D7CAC3">
      <w:pPr>
        <w:pStyle w:val="23"/>
        <w:spacing w:line="520" w:lineRule="exact"/>
        <w:rPr>
          <w:rFonts w:hint="eastAsia" w:ascii="仿宋" w:hAnsi="仿宋" w:eastAsia="仿宋" w:cs="仿宋"/>
          <w:b/>
          <w:bCs/>
          <w:sz w:val="28"/>
          <w:szCs w:val="28"/>
        </w:rPr>
      </w:pPr>
      <w:r>
        <w:rPr>
          <w:rFonts w:hint="eastAsia" w:ascii="仿宋" w:hAnsi="仿宋" w:eastAsia="仿宋" w:cs="仿宋"/>
          <w:b/>
          <w:bCs/>
          <w:sz w:val="28"/>
          <w:szCs w:val="28"/>
        </w:rPr>
        <w:t>（若法定代表人亲自参加投标活动，需提供法定代表人身份证明，格式如下）</w:t>
      </w:r>
    </w:p>
    <w:p w14:paraId="4F8A8B28">
      <w:pPr>
        <w:pStyle w:val="38"/>
        <w:spacing w:line="520" w:lineRule="exact"/>
        <w:jc w:val="center"/>
        <w:rPr>
          <w:rFonts w:hint="eastAsia" w:ascii="仿宋" w:hAnsi="仿宋" w:eastAsia="仿宋" w:cs="仿宋"/>
          <w:sz w:val="28"/>
          <w:szCs w:val="28"/>
        </w:rPr>
      </w:pPr>
      <w:r>
        <w:rPr>
          <w:rStyle w:val="45"/>
          <w:rFonts w:hint="eastAsia" w:ascii="仿宋" w:hAnsi="仿宋" w:eastAsia="仿宋" w:cs="仿宋"/>
          <w:sz w:val="28"/>
          <w:szCs w:val="28"/>
        </w:rPr>
        <w:t>法定代表人身份证明书</w:t>
      </w:r>
    </w:p>
    <w:p w14:paraId="1109622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×××（姓名、性别、年龄）在我公司（或者企业、单位）任×××（董事长、总经理等）职务，是我公司（或者企业、单位）的法定代表人。　　</w:t>
      </w:r>
    </w:p>
    <w:p w14:paraId="3007969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　　</w:t>
      </w:r>
    </w:p>
    <w:p w14:paraId="49D845A7">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×××公司（单位全称加盖公章） 　　</w:t>
      </w:r>
    </w:p>
    <w:p w14:paraId="08F50165">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×年×月×日 　　</w:t>
      </w:r>
    </w:p>
    <w:p w14:paraId="3A433E7B">
      <w:pPr>
        <w:spacing w:line="520" w:lineRule="exact"/>
        <w:ind w:firstLine="560" w:firstLineChars="200"/>
        <w:rPr>
          <w:rFonts w:hint="eastAsia" w:ascii="仿宋" w:hAnsi="仿宋" w:eastAsia="仿宋" w:cs="仿宋"/>
          <w:sz w:val="28"/>
          <w:szCs w:val="28"/>
        </w:rPr>
      </w:pPr>
    </w:p>
    <w:p w14:paraId="40C0D6C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法定代表人住址： 　　</w:t>
      </w:r>
    </w:p>
    <w:p w14:paraId="40FBEE2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 </w:t>
      </w:r>
    </w:p>
    <w:p w14:paraId="1BEB220F">
      <w:pPr>
        <w:spacing w:line="520" w:lineRule="exact"/>
        <w:rPr>
          <w:rFonts w:hint="eastAsia" w:ascii="仿宋" w:hAnsi="仿宋" w:eastAsia="仿宋" w:cs="仿宋"/>
          <w:sz w:val="28"/>
          <w:szCs w:val="28"/>
        </w:rPr>
      </w:pPr>
      <w:r>
        <w:rPr>
          <w:rFonts w:hint="eastAsia" w:ascii="仿宋" w:hAnsi="仿宋" w:eastAsia="仿宋" w:cs="仿宋"/>
          <w:sz w:val="28"/>
          <w:szCs w:val="28"/>
        </w:rPr>
        <w:t>附：法定代表人身份证身印件　　</w:t>
      </w:r>
    </w:p>
    <w:p w14:paraId="53A118F7">
      <w:pPr>
        <w:spacing w:line="500" w:lineRule="exact"/>
        <w:ind w:firstLine="463" w:firstLineChars="192"/>
        <w:rPr>
          <w:rFonts w:hint="eastAsia" w:asciiTheme="minorEastAsia" w:hAnsiTheme="minorEastAsia" w:eastAsiaTheme="minorEastAsia"/>
          <w:b/>
          <w:szCs w:val="28"/>
        </w:rPr>
        <w:sectPr>
          <w:headerReference r:id="rId3" w:type="default"/>
          <w:footerReference r:id="rId4" w:type="default"/>
          <w:pgSz w:w="11907" w:h="16840"/>
          <w:pgMar w:top="1440" w:right="1466" w:bottom="1440" w:left="1440" w:header="851" w:footer="992" w:gutter="0"/>
          <w:cols w:space="425" w:num="1"/>
          <w:docGrid w:linePitch="312" w:charSpace="0"/>
        </w:sectPr>
      </w:pPr>
    </w:p>
    <w:p w14:paraId="0DB15EB0">
      <w:pPr>
        <w:autoSpaceDE w:val="0"/>
        <w:autoSpaceDN w:val="0"/>
        <w:adjustRightInd w:val="0"/>
        <w:snapToGrid w:val="0"/>
        <w:spacing w:line="360" w:lineRule="auto"/>
        <w:jc w:val="left"/>
        <w:outlineLvl w:val="1"/>
        <w:rPr>
          <w:rFonts w:hint="eastAsia" w:ascii="仿宋" w:hAnsi="仿宋" w:eastAsia="仿宋" w:cs="仿宋"/>
          <w:b/>
          <w:w w:val="99"/>
          <w:kern w:val="0"/>
          <w:sz w:val="28"/>
          <w:szCs w:val="28"/>
          <w:lang w:val="zh-CN"/>
        </w:rPr>
      </w:pPr>
      <w:r>
        <w:rPr>
          <w:rFonts w:hint="eastAsia" w:ascii="仿宋" w:hAnsi="仿宋" w:eastAsia="仿宋" w:cs="仿宋"/>
          <w:b/>
          <w:w w:val="99"/>
          <w:kern w:val="0"/>
          <w:sz w:val="28"/>
          <w:szCs w:val="28"/>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2338C5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688A4EC4">
            <w:pPr>
              <w:spacing w:line="500" w:lineRule="exact"/>
              <w:rPr>
                <w:rFonts w:hint="eastAsia" w:ascii="宋体" w:hAnsi="宋体" w:cs="宋体"/>
                <w:kern w:val="0"/>
                <w:sz w:val="21"/>
                <w:szCs w:val="21"/>
              </w:rPr>
            </w:pPr>
            <w:r>
              <w:rPr>
                <w:rFonts w:hint="eastAsia" w:ascii="宋体" w:hAnsi="宋体" w:cs="宋体"/>
                <w:kern w:val="0"/>
                <w:sz w:val="21"/>
                <w:szCs w:val="21"/>
              </w:rPr>
              <w:t>投标人名称</w:t>
            </w:r>
          </w:p>
        </w:tc>
        <w:tc>
          <w:tcPr>
            <w:tcW w:w="7308" w:type="dxa"/>
            <w:gridSpan w:val="9"/>
            <w:vAlign w:val="center"/>
          </w:tcPr>
          <w:p w14:paraId="1CFCA453">
            <w:pPr>
              <w:spacing w:line="500" w:lineRule="exact"/>
              <w:rPr>
                <w:rFonts w:hint="eastAsia" w:ascii="宋体" w:hAnsi="宋体" w:cs="宋体"/>
                <w:kern w:val="0"/>
                <w:sz w:val="21"/>
                <w:szCs w:val="21"/>
              </w:rPr>
            </w:pPr>
          </w:p>
        </w:tc>
      </w:tr>
      <w:tr w14:paraId="54721C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40E7475">
            <w:pPr>
              <w:spacing w:line="500" w:lineRule="exact"/>
              <w:rPr>
                <w:rFonts w:hint="eastAsia" w:ascii="宋体" w:hAnsi="宋体" w:cs="宋体"/>
                <w:kern w:val="0"/>
                <w:sz w:val="21"/>
                <w:szCs w:val="21"/>
              </w:rPr>
            </w:pPr>
            <w:r>
              <w:rPr>
                <w:rFonts w:hint="eastAsia" w:ascii="宋体" w:hAnsi="宋体" w:cs="宋体"/>
                <w:kern w:val="0"/>
                <w:sz w:val="21"/>
                <w:szCs w:val="21"/>
              </w:rPr>
              <w:t>注册地址</w:t>
            </w:r>
          </w:p>
        </w:tc>
        <w:tc>
          <w:tcPr>
            <w:tcW w:w="3165" w:type="dxa"/>
            <w:gridSpan w:val="5"/>
            <w:vAlign w:val="center"/>
          </w:tcPr>
          <w:p w14:paraId="49969866">
            <w:pPr>
              <w:spacing w:line="500" w:lineRule="exact"/>
              <w:rPr>
                <w:rFonts w:hint="eastAsia" w:ascii="宋体" w:hAnsi="宋体" w:cs="宋体"/>
                <w:kern w:val="0"/>
                <w:sz w:val="21"/>
                <w:szCs w:val="21"/>
              </w:rPr>
            </w:pPr>
          </w:p>
        </w:tc>
        <w:tc>
          <w:tcPr>
            <w:tcW w:w="1319" w:type="dxa"/>
            <w:vAlign w:val="center"/>
          </w:tcPr>
          <w:p w14:paraId="31617079">
            <w:pPr>
              <w:spacing w:line="500" w:lineRule="exact"/>
              <w:rPr>
                <w:rFonts w:hint="eastAsia" w:ascii="宋体" w:hAnsi="宋体" w:cs="宋体"/>
                <w:kern w:val="0"/>
                <w:sz w:val="21"/>
                <w:szCs w:val="21"/>
              </w:rPr>
            </w:pPr>
            <w:r>
              <w:rPr>
                <w:rFonts w:hint="eastAsia" w:ascii="宋体" w:hAnsi="宋体" w:cs="宋体"/>
                <w:kern w:val="0"/>
                <w:sz w:val="21"/>
                <w:szCs w:val="21"/>
              </w:rPr>
              <w:t>邮政编码</w:t>
            </w:r>
          </w:p>
        </w:tc>
        <w:tc>
          <w:tcPr>
            <w:tcW w:w="2824" w:type="dxa"/>
            <w:gridSpan w:val="3"/>
            <w:vAlign w:val="center"/>
          </w:tcPr>
          <w:p w14:paraId="0224AF9F">
            <w:pPr>
              <w:spacing w:line="500" w:lineRule="exact"/>
              <w:rPr>
                <w:rFonts w:hint="eastAsia" w:ascii="宋体" w:hAnsi="宋体" w:cs="宋体"/>
                <w:kern w:val="0"/>
                <w:sz w:val="21"/>
                <w:szCs w:val="21"/>
              </w:rPr>
            </w:pPr>
          </w:p>
        </w:tc>
      </w:tr>
      <w:tr w14:paraId="50F7F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38B02479">
            <w:pPr>
              <w:spacing w:line="500" w:lineRule="exact"/>
              <w:rPr>
                <w:rFonts w:hint="eastAsia" w:ascii="宋体" w:hAnsi="宋体" w:cs="宋体"/>
                <w:kern w:val="0"/>
                <w:sz w:val="21"/>
                <w:szCs w:val="21"/>
              </w:rPr>
            </w:pPr>
            <w:r>
              <w:rPr>
                <w:rFonts w:hint="eastAsia" w:ascii="宋体" w:hAnsi="宋体" w:cs="宋体"/>
                <w:kern w:val="0"/>
                <w:sz w:val="21"/>
                <w:szCs w:val="21"/>
              </w:rPr>
              <w:t>联系方式</w:t>
            </w:r>
          </w:p>
        </w:tc>
        <w:tc>
          <w:tcPr>
            <w:tcW w:w="1080" w:type="dxa"/>
            <w:gridSpan w:val="2"/>
            <w:vAlign w:val="center"/>
          </w:tcPr>
          <w:p w14:paraId="587407ED">
            <w:pPr>
              <w:spacing w:line="500" w:lineRule="exact"/>
              <w:rPr>
                <w:rFonts w:hint="eastAsia" w:ascii="宋体" w:hAnsi="宋体" w:cs="宋体"/>
                <w:kern w:val="0"/>
                <w:sz w:val="21"/>
                <w:szCs w:val="21"/>
              </w:rPr>
            </w:pPr>
            <w:r>
              <w:rPr>
                <w:rFonts w:hint="eastAsia" w:ascii="宋体" w:hAnsi="宋体" w:cs="宋体"/>
                <w:kern w:val="0"/>
                <w:sz w:val="21"/>
                <w:szCs w:val="21"/>
              </w:rPr>
              <w:t>联系人</w:t>
            </w:r>
          </w:p>
        </w:tc>
        <w:tc>
          <w:tcPr>
            <w:tcW w:w="2077" w:type="dxa"/>
            <w:gridSpan w:val="2"/>
            <w:vAlign w:val="center"/>
          </w:tcPr>
          <w:p w14:paraId="7661045C">
            <w:pPr>
              <w:spacing w:line="500" w:lineRule="exact"/>
              <w:rPr>
                <w:rFonts w:hint="eastAsia" w:ascii="宋体" w:hAnsi="宋体" w:cs="宋体"/>
                <w:kern w:val="0"/>
                <w:sz w:val="21"/>
                <w:szCs w:val="21"/>
              </w:rPr>
            </w:pPr>
          </w:p>
        </w:tc>
        <w:tc>
          <w:tcPr>
            <w:tcW w:w="1327" w:type="dxa"/>
            <w:gridSpan w:val="2"/>
            <w:vAlign w:val="center"/>
          </w:tcPr>
          <w:p w14:paraId="02F12188">
            <w:pPr>
              <w:spacing w:line="500" w:lineRule="exact"/>
              <w:rPr>
                <w:rFonts w:hint="eastAsia" w:ascii="宋体" w:hAnsi="宋体" w:cs="宋体"/>
                <w:kern w:val="0"/>
                <w:sz w:val="21"/>
                <w:szCs w:val="21"/>
              </w:rPr>
            </w:pPr>
            <w:r>
              <w:rPr>
                <w:rFonts w:hint="eastAsia" w:ascii="宋体" w:hAnsi="宋体" w:cs="宋体"/>
                <w:kern w:val="0"/>
                <w:sz w:val="21"/>
                <w:szCs w:val="21"/>
              </w:rPr>
              <w:t>电话</w:t>
            </w:r>
          </w:p>
        </w:tc>
        <w:tc>
          <w:tcPr>
            <w:tcW w:w="2824" w:type="dxa"/>
            <w:gridSpan w:val="3"/>
            <w:vAlign w:val="center"/>
          </w:tcPr>
          <w:p w14:paraId="77A0054A">
            <w:pPr>
              <w:spacing w:line="500" w:lineRule="exact"/>
              <w:rPr>
                <w:rFonts w:hint="eastAsia" w:ascii="宋体" w:hAnsi="宋体" w:cs="宋体"/>
                <w:kern w:val="0"/>
                <w:sz w:val="21"/>
                <w:szCs w:val="21"/>
              </w:rPr>
            </w:pPr>
          </w:p>
        </w:tc>
      </w:tr>
      <w:tr w14:paraId="0B5567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531F0AC4">
            <w:pPr>
              <w:spacing w:line="500" w:lineRule="exact"/>
              <w:rPr>
                <w:rFonts w:hint="eastAsia" w:ascii="宋体" w:hAnsi="宋体" w:cs="宋体"/>
                <w:kern w:val="0"/>
                <w:sz w:val="21"/>
                <w:szCs w:val="21"/>
              </w:rPr>
            </w:pPr>
          </w:p>
        </w:tc>
        <w:tc>
          <w:tcPr>
            <w:tcW w:w="1080" w:type="dxa"/>
            <w:gridSpan w:val="2"/>
            <w:vAlign w:val="center"/>
          </w:tcPr>
          <w:p w14:paraId="68ECDB1D">
            <w:pPr>
              <w:spacing w:line="500" w:lineRule="exact"/>
              <w:rPr>
                <w:rFonts w:hint="eastAsia" w:ascii="宋体" w:hAnsi="宋体" w:cs="宋体"/>
                <w:kern w:val="0"/>
                <w:sz w:val="21"/>
                <w:szCs w:val="21"/>
              </w:rPr>
            </w:pPr>
            <w:r>
              <w:rPr>
                <w:rFonts w:hint="eastAsia" w:ascii="宋体" w:hAnsi="宋体" w:cs="宋体"/>
                <w:kern w:val="0"/>
                <w:sz w:val="21"/>
                <w:szCs w:val="21"/>
              </w:rPr>
              <w:t>传真</w:t>
            </w:r>
          </w:p>
        </w:tc>
        <w:tc>
          <w:tcPr>
            <w:tcW w:w="2077" w:type="dxa"/>
            <w:gridSpan w:val="2"/>
            <w:vAlign w:val="center"/>
          </w:tcPr>
          <w:p w14:paraId="619EE689">
            <w:pPr>
              <w:spacing w:line="500" w:lineRule="exact"/>
              <w:rPr>
                <w:rFonts w:hint="eastAsia" w:ascii="宋体" w:hAnsi="宋体" w:cs="宋体"/>
                <w:kern w:val="0"/>
                <w:sz w:val="21"/>
                <w:szCs w:val="21"/>
              </w:rPr>
            </w:pPr>
          </w:p>
        </w:tc>
        <w:tc>
          <w:tcPr>
            <w:tcW w:w="1327" w:type="dxa"/>
            <w:gridSpan w:val="2"/>
            <w:vAlign w:val="center"/>
          </w:tcPr>
          <w:p w14:paraId="27FF1167">
            <w:pPr>
              <w:spacing w:line="500" w:lineRule="exact"/>
              <w:rPr>
                <w:rFonts w:hint="eastAsia" w:ascii="宋体" w:hAnsi="宋体" w:cs="宋体"/>
                <w:kern w:val="0"/>
                <w:sz w:val="21"/>
                <w:szCs w:val="21"/>
              </w:rPr>
            </w:pPr>
            <w:r>
              <w:rPr>
                <w:rFonts w:hint="eastAsia" w:ascii="宋体" w:hAnsi="宋体" w:cs="宋体"/>
                <w:kern w:val="0"/>
                <w:sz w:val="21"/>
                <w:szCs w:val="21"/>
              </w:rPr>
              <w:t>网址</w:t>
            </w:r>
          </w:p>
        </w:tc>
        <w:tc>
          <w:tcPr>
            <w:tcW w:w="2824" w:type="dxa"/>
            <w:gridSpan w:val="3"/>
            <w:vAlign w:val="center"/>
          </w:tcPr>
          <w:p w14:paraId="7F4B6B04">
            <w:pPr>
              <w:spacing w:line="500" w:lineRule="exact"/>
              <w:rPr>
                <w:rFonts w:hint="eastAsia" w:ascii="宋体" w:hAnsi="宋体" w:cs="宋体"/>
                <w:kern w:val="0"/>
                <w:sz w:val="21"/>
                <w:szCs w:val="21"/>
              </w:rPr>
            </w:pPr>
          </w:p>
        </w:tc>
      </w:tr>
      <w:tr w14:paraId="208637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5F1518">
            <w:pPr>
              <w:spacing w:line="500" w:lineRule="exact"/>
              <w:rPr>
                <w:rFonts w:hint="eastAsia" w:ascii="宋体" w:hAnsi="宋体" w:cs="宋体"/>
                <w:kern w:val="0"/>
                <w:sz w:val="21"/>
                <w:szCs w:val="21"/>
              </w:rPr>
            </w:pPr>
            <w:r>
              <w:rPr>
                <w:rFonts w:hint="eastAsia" w:ascii="宋体" w:hAnsi="宋体" w:cs="宋体"/>
                <w:kern w:val="0"/>
                <w:sz w:val="21"/>
                <w:szCs w:val="21"/>
              </w:rPr>
              <w:t>组织结构</w:t>
            </w:r>
          </w:p>
        </w:tc>
        <w:tc>
          <w:tcPr>
            <w:tcW w:w="7308" w:type="dxa"/>
            <w:gridSpan w:val="9"/>
            <w:vAlign w:val="center"/>
          </w:tcPr>
          <w:p w14:paraId="68B91C79">
            <w:pPr>
              <w:spacing w:line="500" w:lineRule="exact"/>
              <w:rPr>
                <w:rFonts w:hint="eastAsia" w:ascii="宋体" w:hAnsi="宋体" w:cs="宋体"/>
                <w:kern w:val="0"/>
                <w:sz w:val="21"/>
                <w:szCs w:val="21"/>
              </w:rPr>
            </w:pPr>
          </w:p>
        </w:tc>
      </w:tr>
      <w:tr w14:paraId="38AAD6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5801B424">
            <w:pPr>
              <w:spacing w:line="500" w:lineRule="exact"/>
              <w:rPr>
                <w:rFonts w:hint="eastAsia" w:ascii="宋体" w:hAnsi="宋体" w:cs="宋体"/>
                <w:kern w:val="0"/>
                <w:sz w:val="21"/>
                <w:szCs w:val="21"/>
              </w:rPr>
            </w:pPr>
            <w:r>
              <w:rPr>
                <w:rFonts w:hint="eastAsia" w:ascii="宋体" w:hAnsi="宋体" w:cs="宋体"/>
                <w:kern w:val="0"/>
                <w:sz w:val="21"/>
                <w:szCs w:val="21"/>
              </w:rPr>
              <w:t>法定代表人</w:t>
            </w:r>
          </w:p>
        </w:tc>
        <w:tc>
          <w:tcPr>
            <w:tcW w:w="696" w:type="dxa"/>
            <w:vAlign w:val="center"/>
          </w:tcPr>
          <w:p w14:paraId="54689D85">
            <w:pPr>
              <w:spacing w:line="500" w:lineRule="exact"/>
              <w:rPr>
                <w:rFonts w:hint="eastAsia" w:ascii="宋体" w:hAnsi="宋体" w:cs="宋体"/>
                <w:kern w:val="0"/>
                <w:sz w:val="21"/>
                <w:szCs w:val="21"/>
              </w:rPr>
            </w:pPr>
            <w:r>
              <w:rPr>
                <w:rFonts w:hint="eastAsia" w:ascii="宋体" w:hAnsi="宋体" w:cs="宋体"/>
                <w:kern w:val="0"/>
                <w:sz w:val="21"/>
                <w:szCs w:val="21"/>
              </w:rPr>
              <w:t>姓名</w:t>
            </w:r>
          </w:p>
        </w:tc>
        <w:tc>
          <w:tcPr>
            <w:tcW w:w="1284" w:type="dxa"/>
            <w:gridSpan w:val="2"/>
            <w:vAlign w:val="center"/>
          </w:tcPr>
          <w:p w14:paraId="4C6FEC5B">
            <w:pPr>
              <w:spacing w:line="500" w:lineRule="exact"/>
              <w:rPr>
                <w:rFonts w:hint="eastAsia" w:ascii="宋体" w:hAnsi="宋体" w:cs="宋体"/>
                <w:kern w:val="0"/>
                <w:sz w:val="21"/>
                <w:szCs w:val="21"/>
              </w:rPr>
            </w:pPr>
          </w:p>
        </w:tc>
        <w:tc>
          <w:tcPr>
            <w:tcW w:w="1177" w:type="dxa"/>
            <w:vAlign w:val="center"/>
          </w:tcPr>
          <w:p w14:paraId="7CCB2E41">
            <w:pPr>
              <w:spacing w:line="500" w:lineRule="exact"/>
              <w:rPr>
                <w:rFonts w:hint="eastAsia" w:ascii="宋体" w:hAnsi="宋体" w:cs="宋体"/>
                <w:kern w:val="0"/>
                <w:sz w:val="21"/>
                <w:szCs w:val="21"/>
              </w:rPr>
            </w:pPr>
            <w:r>
              <w:rPr>
                <w:rFonts w:hint="eastAsia" w:ascii="宋体" w:hAnsi="宋体" w:cs="宋体"/>
                <w:kern w:val="0"/>
                <w:sz w:val="21"/>
                <w:szCs w:val="21"/>
              </w:rPr>
              <w:t>技术职称</w:t>
            </w:r>
          </w:p>
        </w:tc>
        <w:tc>
          <w:tcPr>
            <w:tcW w:w="1327" w:type="dxa"/>
            <w:gridSpan w:val="2"/>
            <w:vAlign w:val="center"/>
          </w:tcPr>
          <w:p w14:paraId="19BA7398">
            <w:pPr>
              <w:spacing w:line="500" w:lineRule="exact"/>
              <w:rPr>
                <w:rFonts w:hint="eastAsia" w:ascii="宋体" w:hAnsi="宋体" w:cs="宋体"/>
                <w:kern w:val="0"/>
                <w:sz w:val="21"/>
                <w:szCs w:val="21"/>
              </w:rPr>
            </w:pPr>
          </w:p>
        </w:tc>
        <w:tc>
          <w:tcPr>
            <w:tcW w:w="1173" w:type="dxa"/>
            <w:gridSpan w:val="2"/>
            <w:vAlign w:val="center"/>
          </w:tcPr>
          <w:p w14:paraId="20F14AFD">
            <w:pPr>
              <w:spacing w:line="500" w:lineRule="exact"/>
              <w:rPr>
                <w:rFonts w:hint="eastAsia" w:ascii="宋体" w:hAnsi="宋体" w:cs="宋体"/>
                <w:kern w:val="0"/>
                <w:sz w:val="21"/>
                <w:szCs w:val="21"/>
              </w:rPr>
            </w:pPr>
            <w:r>
              <w:rPr>
                <w:rFonts w:hint="eastAsia" w:ascii="宋体" w:hAnsi="宋体" w:cs="宋体"/>
                <w:kern w:val="0"/>
                <w:sz w:val="21"/>
                <w:szCs w:val="21"/>
              </w:rPr>
              <w:t>电话</w:t>
            </w:r>
          </w:p>
        </w:tc>
        <w:tc>
          <w:tcPr>
            <w:tcW w:w="1651" w:type="dxa"/>
            <w:vAlign w:val="center"/>
          </w:tcPr>
          <w:p w14:paraId="63D68B4C">
            <w:pPr>
              <w:spacing w:line="500" w:lineRule="exact"/>
              <w:rPr>
                <w:rFonts w:hint="eastAsia" w:ascii="宋体" w:hAnsi="宋体" w:cs="宋体"/>
                <w:b/>
                <w:bCs/>
                <w:kern w:val="0"/>
                <w:sz w:val="21"/>
                <w:szCs w:val="21"/>
              </w:rPr>
            </w:pPr>
          </w:p>
        </w:tc>
      </w:tr>
      <w:tr w14:paraId="22F686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0CE36D39">
            <w:pPr>
              <w:spacing w:line="500" w:lineRule="exact"/>
              <w:rPr>
                <w:rFonts w:hint="eastAsia" w:ascii="宋体" w:hAnsi="宋体" w:cs="宋体"/>
                <w:kern w:val="0"/>
                <w:sz w:val="21"/>
                <w:szCs w:val="21"/>
              </w:rPr>
            </w:pPr>
            <w:r>
              <w:rPr>
                <w:rFonts w:hint="eastAsia" w:ascii="宋体" w:hAnsi="宋体" w:cs="宋体"/>
                <w:kern w:val="0"/>
                <w:sz w:val="21"/>
                <w:szCs w:val="21"/>
              </w:rPr>
              <w:t>技术负责人</w:t>
            </w:r>
          </w:p>
        </w:tc>
        <w:tc>
          <w:tcPr>
            <w:tcW w:w="696" w:type="dxa"/>
            <w:vAlign w:val="center"/>
          </w:tcPr>
          <w:p w14:paraId="0BE1E0C7">
            <w:pPr>
              <w:spacing w:line="500" w:lineRule="exact"/>
              <w:rPr>
                <w:rFonts w:hint="eastAsia" w:ascii="宋体" w:hAnsi="宋体" w:cs="宋体"/>
                <w:kern w:val="0"/>
                <w:sz w:val="21"/>
                <w:szCs w:val="21"/>
              </w:rPr>
            </w:pPr>
            <w:r>
              <w:rPr>
                <w:rFonts w:hint="eastAsia" w:ascii="宋体" w:hAnsi="宋体" w:cs="宋体"/>
                <w:kern w:val="0"/>
                <w:sz w:val="21"/>
                <w:szCs w:val="21"/>
              </w:rPr>
              <w:t>姓名</w:t>
            </w:r>
          </w:p>
        </w:tc>
        <w:tc>
          <w:tcPr>
            <w:tcW w:w="1284" w:type="dxa"/>
            <w:gridSpan w:val="2"/>
            <w:vAlign w:val="center"/>
          </w:tcPr>
          <w:p w14:paraId="7378E731">
            <w:pPr>
              <w:spacing w:line="500" w:lineRule="exact"/>
              <w:rPr>
                <w:rFonts w:hint="eastAsia" w:ascii="宋体" w:hAnsi="宋体" w:cs="宋体"/>
                <w:kern w:val="0"/>
                <w:sz w:val="21"/>
                <w:szCs w:val="21"/>
              </w:rPr>
            </w:pPr>
          </w:p>
        </w:tc>
        <w:tc>
          <w:tcPr>
            <w:tcW w:w="1177" w:type="dxa"/>
            <w:vAlign w:val="center"/>
          </w:tcPr>
          <w:p w14:paraId="004A25C9">
            <w:pPr>
              <w:spacing w:line="500" w:lineRule="exact"/>
              <w:rPr>
                <w:rFonts w:hint="eastAsia" w:ascii="宋体" w:hAnsi="宋体" w:cs="宋体"/>
                <w:kern w:val="0"/>
                <w:sz w:val="21"/>
                <w:szCs w:val="21"/>
              </w:rPr>
            </w:pPr>
            <w:r>
              <w:rPr>
                <w:rFonts w:hint="eastAsia" w:ascii="宋体" w:hAnsi="宋体" w:cs="宋体"/>
                <w:kern w:val="0"/>
                <w:sz w:val="21"/>
                <w:szCs w:val="21"/>
              </w:rPr>
              <w:t>技术职称</w:t>
            </w:r>
          </w:p>
        </w:tc>
        <w:tc>
          <w:tcPr>
            <w:tcW w:w="1327" w:type="dxa"/>
            <w:gridSpan w:val="2"/>
            <w:vAlign w:val="center"/>
          </w:tcPr>
          <w:p w14:paraId="3798418C">
            <w:pPr>
              <w:spacing w:line="500" w:lineRule="exact"/>
              <w:rPr>
                <w:rFonts w:hint="eastAsia" w:ascii="宋体" w:hAnsi="宋体" w:cs="宋体"/>
                <w:kern w:val="0"/>
                <w:sz w:val="21"/>
                <w:szCs w:val="21"/>
              </w:rPr>
            </w:pPr>
          </w:p>
        </w:tc>
        <w:tc>
          <w:tcPr>
            <w:tcW w:w="1173" w:type="dxa"/>
            <w:gridSpan w:val="2"/>
            <w:vAlign w:val="center"/>
          </w:tcPr>
          <w:p w14:paraId="6717742C">
            <w:pPr>
              <w:spacing w:line="500" w:lineRule="exact"/>
              <w:rPr>
                <w:rFonts w:hint="eastAsia" w:ascii="宋体" w:hAnsi="宋体" w:cs="宋体"/>
                <w:kern w:val="0"/>
                <w:sz w:val="21"/>
                <w:szCs w:val="21"/>
              </w:rPr>
            </w:pPr>
            <w:r>
              <w:rPr>
                <w:rFonts w:hint="eastAsia" w:ascii="宋体" w:hAnsi="宋体" w:cs="宋体"/>
                <w:kern w:val="0"/>
                <w:sz w:val="21"/>
                <w:szCs w:val="21"/>
              </w:rPr>
              <w:t>电话</w:t>
            </w:r>
          </w:p>
        </w:tc>
        <w:tc>
          <w:tcPr>
            <w:tcW w:w="1651" w:type="dxa"/>
            <w:vAlign w:val="center"/>
          </w:tcPr>
          <w:p w14:paraId="09D09BD2">
            <w:pPr>
              <w:spacing w:line="500" w:lineRule="exact"/>
              <w:rPr>
                <w:rFonts w:hint="eastAsia" w:ascii="宋体" w:hAnsi="宋体" w:cs="宋体"/>
                <w:b/>
                <w:bCs/>
                <w:kern w:val="0"/>
                <w:sz w:val="21"/>
                <w:szCs w:val="21"/>
              </w:rPr>
            </w:pPr>
          </w:p>
        </w:tc>
      </w:tr>
      <w:tr w14:paraId="29DC85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A50DCB">
            <w:pPr>
              <w:spacing w:line="500" w:lineRule="exact"/>
              <w:rPr>
                <w:rFonts w:hint="eastAsia" w:ascii="宋体" w:hAnsi="宋体" w:cs="宋体"/>
                <w:kern w:val="0"/>
                <w:sz w:val="21"/>
                <w:szCs w:val="21"/>
              </w:rPr>
            </w:pPr>
            <w:r>
              <w:rPr>
                <w:rFonts w:hint="eastAsia" w:ascii="宋体" w:hAnsi="宋体" w:cs="宋体"/>
                <w:kern w:val="0"/>
                <w:sz w:val="21"/>
                <w:szCs w:val="21"/>
              </w:rPr>
              <w:t>成立时间</w:t>
            </w:r>
          </w:p>
        </w:tc>
        <w:tc>
          <w:tcPr>
            <w:tcW w:w="1980" w:type="dxa"/>
            <w:gridSpan w:val="3"/>
            <w:vAlign w:val="center"/>
          </w:tcPr>
          <w:p w14:paraId="650F10F1">
            <w:pPr>
              <w:spacing w:line="500" w:lineRule="exact"/>
              <w:rPr>
                <w:rFonts w:hint="eastAsia" w:ascii="宋体" w:hAnsi="宋体" w:cs="宋体"/>
                <w:kern w:val="0"/>
                <w:sz w:val="21"/>
                <w:szCs w:val="21"/>
              </w:rPr>
            </w:pPr>
          </w:p>
        </w:tc>
        <w:tc>
          <w:tcPr>
            <w:tcW w:w="5328" w:type="dxa"/>
            <w:gridSpan w:val="6"/>
            <w:vAlign w:val="center"/>
          </w:tcPr>
          <w:p w14:paraId="0E09D27C">
            <w:pPr>
              <w:spacing w:line="500" w:lineRule="exact"/>
              <w:rPr>
                <w:rFonts w:hint="eastAsia" w:ascii="宋体" w:hAnsi="宋体" w:cs="宋体"/>
                <w:kern w:val="0"/>
                <w:sz w:val="21"/>
                <w:szCs w:val="21"/>
              </w:rPr>
            </w:pPr>
            <w:r>
              <w:rPr>
                <w:rFonts w:hint="eastAsia" w:ascii="宋体" w:hAnsi="宋体" w:cs="宋体"/>
                <w:kern w:val="0"/>
                <w:sz w:val="21"/>
                <w:szCs w:val="21"/>
              </w:rPr>
              <w:t>员工总人数：</w:t>
            </w:r>
          </w:p>
        </w:tc>
      </w:tr>
      <w:tr w14:paraId="20555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0C082636">
            <w:pPr>
              <w:spacing w:line="500" w:lineRule="exact"/>
              <w:rPr>
                <w:rFonts w:hint="eastAsia" w:ascii="宋体" w:hAnsi="宋体" w:cs="宋体"/>
                <w:kern w:val="0"/>
                <w:sz w:val="21"/>
                <w:szCs w:val="21"/>
              </w:rPr>
            </w:pPr>
            <w:r>
              <w:rPr>
                <w:rFonts w:hint="eastAsia" w:ascii="宋体" w:hAnsi="宋体" w:cs="宋体"/>
                <w:kern w:val="0"/>
                <w:sz w:val="21"/>
                <w:szCs w:val="21"/>
              </w:rPr>
              <w:t>企业资质等级</w:t>
            </w:r>
          </w:p>
        </w:tc>
        <w:tc>
          <w:tcPr>
            <w:tcW w:w="1980" w:type="dxa"/>
            <w:gridSpan w:val="3"/>
            <w:vAlign w:val="center"/>
          </w:tcPr>
          <w:p w14:paraId="2FAE9E90">
            <w:pPr>
              <w:spacing w:line="500" w:lineRule="exact"/>
              <w:rPr>
                <w:rFonts w:hint="eastAsia" w:ascii="宋体" w:hAnsi="宋体" w:cs="宋体"/>
                <w:kern w:val="0"/>
                <w:sz w:val="21"/>
                <w:szCs w:val="21"/>
              </w:rPr>
            </w:pPr>
          </w:p>
        </w:tc>
        <w:tc>
          <w:tcPr>
            <w:tcW w:w="1177" w:type="dxa"/>
            <w:vMerge w:val="restart"/>
            <w:vAlign w:val="center"/>
          </w:tcPr>
          <w:p w14:paraId="5905D5F3">
            <w:pPr>
              <w:spacing w:line="500" w:lineRule="exact"/>
              <w:rPr>
                <w:rFonts w:hint="eastAsia" w:ascii="宋体" w:hAnsi="宋体" w:cs="宋体"/>
                <w:kern w:val="0"/>
                <w:sz w:val="21"/>
                <w:szCs w:val="21"/>
              </w:rPr>
            </w:pPr>
            <w:r>
              <w:rPr>
                <w:rFonts w:hint="eastAsia" w:ascii="宋体" w:hAnsi="宋体" w:cs="宋体"/>
                <w:kern w:val="0"/>
                <w:sz w:val="21"/>
                <w:szCs w:val="21"/>
              </w:rPr>
              <w:t>其中</w:t>
            </w:r>
          </w:p>
        </w:tc>
        <w:tc>
          <w:tcPr>
            <w:tcW w:w="1883" w:type="dxa"/>
            <w:gridSpan w:val="3"/>
            <w:vAlign w:val="center"/>
          </w:tcPr>
          <w:p w14:paraId="4FEDAABC">
            <w:pPr>
              <w:spacing w:line="500" w:lineRule="exact"/>
              <w:rPr>
                <w:rFonts w:hint="eastAsia" w:ascii="宋体" w:hAnsi="宋体" w:cs="宋体"/>
                <w:kern w:val="0"/>
                <w:sz w:val="21"/>
                <w:szCs w:val="21"/>
              </w:rPr>
            </w:pPr>
            <w:r>
              <w:rPr>
                <w:rFonts w:hint="eastAsia" w:ascii="宋体" w:hAnsi="宋体" w:cs="宋体"/>
                <w:kern w:val="0"/>
                <w:sz w:val="21"/>
                <w:szCs w:val="21"/>
              </w:rPr>
              <w:t>项目经理</w:t>
            </w:r>
          </w:p>
        </w:tc>
        <w:tc>
          <w:tcPr>
            <w:tcW w:w="2268" w:type="dxa"/>
            <w:gridSpan w:val="2"/>
            <w:vAlign w:val="center"/>
          </w:tcPr>
          <w:p w14:paraId="6BBBD7DE">
            <w:pPr>
              <w:spacing w:line="500" w:lineRule="exact"/>
              <w:rPr>
                <w:rFonts w:hint="eastAsia" w:ascii="宋体" w:hAnsi="宋体" w:cs="宋体"/>
                <w:b/>
                <w:bCs/>
                <w:kern w:val="0"/>
                <w:sz w:val="21"/>
                <w:szCs w:val="21"/>
              </w:rPr>
            </w:pPr>
          </w:p>
        </w:tc>
      </w:tr>
      <w:tr w14:paraId="50BF88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05E66466">
            <w:pPr>
              <w:spacing w:line="500" w:lineRule="exact"/>
              <w:rPr>
                <w:rFonts w:hint="eastAsia" w:ascii="宋体" w:hAnsi="宋体" w:cs="宋体"/>
                <w:kern w:val="0"/>
                <w:sz w:val="21"/>
                <w:szCs w:val="21"/>
              </w:rPr>
            </w:pPr>
            <w:r>
              <w:rPr>
                <w:rFonts w:hint="eastAsia" w:ascii="宋体" w:hAnsi="宋体" w:cs="宋体"/>
                <w:kern w:val="0"/>
                <w:sz w:val="21"/>
                <w:szCs w:val="21"/>
              </w:rPr>
              <w:t>营业执照号</w:t>
            </w:r>
          </w:p>
        </w:tc>
        <w:tc>
          <w:tcPr>
            <w:tcW w:w="1980" w:type="dxa"/>
            <w:gridSpan w:val="3"/>
            <w:vAlign w:val="center"/>
          </w:tcPr>
          <w:p w14:paraId="72A646DD">
            <w:pPr>
              <w:spacing w:line="500" w:lineRule="exact"/>
              <w:rPr>
                <w:rFonts w:hint="eastAsia" w:ascii="宋体" w:hAnsi="宋体" w:cs="宋体"/>
                <w:kern w:val="0"/>
                <w:sz w:val="21"/>
                <w:szCs w:val="21"/>
              </w:rPr>
            </w:pPr>
          </w:p>
        </w:tc>
        <w:tc>
          <w:tcPr>
            <w:tcW w:w="1177" w:type="dxa"/>
            <w:vMerge w:val="continue"/>
            <w:vAlign w:val="center"/>
          </w:tcPr>
          <w:p w14:paraId="6FF973C2">
            <w:pPr>
              <w:spacing w:line="500" w:lineRule="exact"/>
              <w:rPr>
                <w:rFonts w:hint="eastAsia" w:ascii="宋体" w:hAnsi="宋体" w:cs="宋体"/>
                <w:kern w:val="0"/>
                <w:sz w:val="21"/>
                <w:szCs w:val="21"/>
              </w:rPr>
            </w:pPr>
          </w:p>
        </w:tc>
        <w:tc>
          <w:tcPr>
            <w:tcW w:w="1883" w:type="dxa"/>
            <w:gridSpan w:val="3"/>
            <w:vAlign w:val="center"/>
          </w:tcPr>
          <w:p w14:paraId="4FDAD3D5">
            <w:pPr>
              <w:spacing w:line="500" w:lineRule="exact"/>
              <w:rPr>
                <w:rFonts w:hint="eastAsia" w:ascii="宋体" w:hAnsi="宋体" w:cs="宋体"/>
                <w:kern w:val="0"/>
                <w:sz w:val="21"/>
                <w:szCs w:val="21"/>
              </w:rPr>
            </w:pPr>
            <w:r>
              <w:rPr>
                <w:rFonts w:hint="eastAsia" w:ascii="宋体" w:hAnsi="宋体" w:cs="宋体"/>
                <w:kern w:val="0"/>
                <w:sz w:val="21"/>
                <w:szCs w:val="21"/>
              </w:rPr>
              <w:t>高级职称人员</w:t>
            </w:r>
          </w:p>
        </w:tc>
        <w:tc>
          <w:tcPr>
            <w:tcW w:w="2268" w:type="dxa"/>
            <w:gridSpan w:val="2"/>
            <w:vAlign w:val="center"/>
          </w:tcPr>
          <w:p w14:paraId="18FD840C">
            <w:pPr>
              <w:spacing w:line="500" w:lineRule="exact"/>
              <w:rPr>
                <w:rFonts w:hint="eastAsia" w:ascii="宋体" w:hAnsi="宋体" w:cs="宋体"/>
                <w:b/>
                <w:bCs/>
                <w:kern w:val="0"/>
                <w:sz w:val="21"/>
                <w:szCs w:val="21"/>
              </w:rPr>
            </w:pPr>
          </w:p>
        </w:tc>
      </w:tr>
      <w:tr w14:paraId="6C9823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5EF36612">
            <w:pPr>
              <w:spacing w:line="500" w:lineRule="exact"/>
              <w:rPr>
                <w:rFonts w:hint="eastAsia" w:ascii="宋体" w:hAnsi="宋体" w:cs="宋体"/>
                <w:kern w:val="0"/>
                <w:sz w:val="21"/>
                <w:szCs w:val="21"/>
              </w:rPr>
            </w:pPr>
            <w:r>
              <w:rPr>
                <w:rFonts w:hint="eastAsia" w:ascii="宋体" w:hAnsi="宋体" w:cs="宋体"/>
                <w:kern w:val="0"/>
                <w:sz w:val="21"/>
                <w:szCs w:val="21"/>
              </w:rPr>
              <w:t>注册资金</w:t>
            </w:r>
          </w:p>
        </w:tc>
        <w:tc>
          <w:tcPr>
            <w:tcW w:w="1980" w:type="dxa"/>
            <w:gridSpan w:val="3"/>
            <w:vAlign w:val="center"/>
          </w:tcPr>
          <w:p w14:paraId="3A9FB92D">
            <w:pPr>
              <w:spacing w:line="500" w:lineRule="exact"/>
              <w:rPr>
                <w:rFonts w:hint="eastAsia" w:ascii="宋体" w:hAnsi="宋体" w:cs="宋体"/>
                <w:kern w:val="0"/>
                <w:sz w:val="21"/>
                <w:szCs w:val="21"/>
              </w:rPr>
            </w:pPr>
          </w:p>
        </w:tc>
        <w:tc>
          <w:tcPr>
            <w:tcW w:w="1177" w:type="dxa"/>
            <w:vMerge w:val="continue"/>
            <w:vAlign w:val="center"/>
          </w:tcPr>
          <w:p w14:paraId="1C8FB7C2">
            <w:pPr>
              <w:spacing w:line="500" w:lineRule="exact"/>
              <w:rPr>
                <w:rFonts w:hint="eastAsia" w:ascii="宋体" w:hAnsi="宋体" w:cs="宋体"/>
                <w:kern w:val="0"/>
                <w:sz w:val="21"/>
                <w:szCs w:val="21"/>
              </w:rPr>
            </w:pPr>
          </w:p>
        </w:tc>
        <w:tc>
          <w:tcPr>
            <w:tcW w:w="1883" w:type="dxa"/>
            <w:gridSpan w:val="3"/>
            <w:vAlign w:val="center"/>
          </w:tcPr>
          <w:p w14:paraId="50896119">
            <w:pPr>
              <w:spacing w:line="500" w:lineRule="exact"/>
              <w:rPr>
                <w:rFonts w:hint="eastAsia" w:ascii="宋体" w:hAnsi="宋体" w:cs="宋体"/>
                <w:kern w:val="0"/>
                <w:sz w:val="21"/>
                <w:szCs w:val="21"/>
              </w:rPr>
            </w:pPr>
            <w:r>
              <w:rPr>
                <w:rFonts w:hint="eastAsia" w:ascii="宋体" w:hAnsi="宋体" w:cs="宋体"/>
                <w:kern w:val="0"/>
                <w:sz w:val="21"/>
                <w:szCs w:val="21"/>
              </w:rPr>
              <w:t>中级职称人员</w:t>
            </w:r>
          </w:p>
        </w:tc>
        <w:tc>
          <w:tcPr>
            <w:tcW w:w="2268" w:type="dxa"/>
            <w:gridSpan w:val="2"/>
            <w:vAlign w:val="center"/>
          </w:tcPr>
          <w:p w14:paraId="415ECAD5">
            <w:pPr>
              <w:spacing w:line="500" w:lineRule="exact"/>
              <w:rPr>
                <w:rFonts w:hint="eastAsia" w:ascii="宋体" w:hAnsi="宋体" w:cs="宋体"/>
                <w:b/>
                <w:bCs/>
                <w:kern w:val="0"/>
                <w:sz w:val="21"/>
                <w:szCs w:val="21"/>
              </w:rPr>
            </w:pPr>
          </w:p>
        </w:tc>
      </w:tr>
      <w:tr w14:paraId="5E4C6C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2398875B">
            <w:pPr>
              <w:spacing w:line="500" w:lineRule="exact"/>
              <w:rPr>
                <w:rFonts w:hint="eastAsia" w:ascii="宋体" w:hAnsi="宋体" w:cs="宋体"/>
                <w:kern w:val="0"/>
                <w:sz w:val="21"/>
                <w:szCs w:val="21"/>
              </w:rPr>
            </w:pPr>
            <w:r>
              <w:rPr>
                <w:rFonts w:hint="eastAsia" w:ascii="宋体" w:hAnsi="宋体" w:cs="宋体"/>
                <w:kern w:val="0"/>
                <w:sz w:val="21"/>
                <w:szCs w:val="21"/>
              </w:rPr>
              <w:t>开户银行</w:t>
            </w:r>
          </w:p>
        </w:tc>
        <w:tc>
          <w:tcPr>
            <w:tcW w:w="1980" w:type="dxa"/>
            <w:gridSpan w:val="3"/>
            <w:vAlign w:val="center"/>
          </w:tcPr>
          <w:p w14:paraId="2D8D6B47">
            <w:pPr>
              <w:spacing w:line="500" w:lineRule="exact"/>
              <w:rPr>
                <w:rFonts w:hint="eastAsia" w:ascii="宋体" w:hAnsi="宋体" w:cs="宋体"/>
                <w:kern w:val="0"/>
                <w:sz w:val="21"/>
                <w:szCs w:val="21"/>
              </w:rPr>
            </w:pPr>
          </w:p>
        </w:tc>
        <w:tc>
          <w:tcPr>
            <w:tcW w:w="1177" w:type="dxa"/>
            <w:vMerge w:val="continue"/>
            <w:vAlign w:val="center"/>
          </w:tcPr>
          <w:p w14:paraId="255945A2">
            <w:pPr>
              <w:spacing w:line="500" w:lineRule="exact"/>
              <w:rPr>
                <w:rFonts w:hint="eastAsia" w:ascii="宋体" w:hAnsi="宋体" w:cs="宋体"/>
                <w:kern w:val="0"/>
                <w:sz w:val="21"/>
                <w:szCs w:val="21"/>
              </w:rPr>
            </w:pPr>
          </w:p>
        </w:tc>
        <w:tc>
          <w:tcPr>
            <w:tcW w:w="1883" w:type="dxa"/>
            <w:gridSpan w:val="3"/>
            <w:vAlign w:val="center"/>
          </w:tcPr>
          <w:p w14:paraId="6CD10C39">
            <w:pPr>
              <w:spacing w:line="500" w:lineRule="exact"/>
              <w:rPr>
                <w:rFonts w:hint="eastAsia" w:ascii="宋体" w:hAnsi="宋体" w:cs="宋体"/>
                <w:kern w:val="0"/>
                <w:sz w:val="21"/>
                <w:szCs w:val="21"/>
              </w:rPr>
            </w:pPr>
            <w:r>
              <w:rPr>
                <w:rFonts w:hint="eastAsia" w:ascii="宋体" w:hAnsi="宋体" w:cs="宋体"/>
                <w:kern w:val="0"/>
                <w:sz w:val="21"/>
                <w:szCs w:val="21"/>
              </w:rPr>
              <w:t>初级职称人员</w:t>
            </w:r>
          </w:p>
        </w:tc>
        <w:tc>
          <w:tcPr>
            <w:tcW w:w="2268" w:type="dxa"/>
            <w:gridSpan w:val="2"/>
            <w:vAlign w:val="center"/>
          </w:tcPr>
          <w:p w14:paraId="2ACEE5A3">
            <w:pPr>
              <w:spacing w:line="500" w:lineRule="exact"/>
              <w:rPr>
                <w:rFonts w:hint="eastAsia" w:ascii="宋体" w:hAnsi="宋体" w:cs="宋体"/>
                <w:b/>
                <w:bCs/>
                <w:kern w:val="0"/>
                <w:sz w:val="21"/>
                <w:szCs w:val="21"/>
              </w:rPr>
            </w:pPr>
          </w:p>
        </w:tc>
      </w:tr>
      <w:tr w14:paraId="75CA0A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34F1966B">
            <w:pPr>
              <w:spacing w:line="500" w:lineRule="exact"/>
              <w:rPr>
                <w:rFonts w:hint="eastAsia" w:ascii="宋体" w:hAnsi="宋体" w:cs="宋体"/>
                <w:kern w:val="0"/>
                <w:sz w:val="21"/>
                <w:szCs w:val="21"/>
              </w:rPr>
            </w:pPr>
            <w:r>
              <w:rPr>
                <w:rFonts w:hint="eastAsia" w:ascii="宋体" w:hAnsi="宋体" w:cs="宋体"/>
                <w:kern w:val="0"/>
                <w:sz w:val="21"/>
                <w:szCs w:val="21"/>
              </w:rPr>
              <w:t>账号</w:t>
            </w:r>
          </w:p>
        </w:tc>
        <w:tc>
          <w:tcPr>
            <w:tcW w:w="1980" w:type="dxa"/>
            <w:gridSpan w:val="3"/>
            <w:vAlign w:val="center"/>
          </w:tcPr>
          <w:p w14:paraId="3324467C">
            <w:pPr>
              <w:spacing w:line="500" w:lineRule="exact"/>
              <w:rPr>
                <w:rFonts w:hint="eastAsia" w:ascii="宋体" w:hAnsi="宋体" w:cs="宋体"/>
                <w:kern w:val="0"/>
                <w:sz w:val="21"/>
                <w:szCs w:val="21"/>
              </w:rPr>
            </w:pPr>
          </w:p>
        </w:tc>
        <w:tc>
          <w:tcPr>
            <w:tcW w:w="1177" w:type="dxa"/>
            <w:vMerge w:val="continue"/>
            <w:vAlign w:val="center"/>
          </w:tcPr>
          <w:p w14:paraId="11B0E50E">
            <w:pPr>
              <w:spacing w:line="500" w:lineRule="exact"/>
              <w:rPr>
                <w:rFonts w:hint="eastAsia" w:ascii="宋体" w:hAnsi="宋体" w:cs="宋体"/>
                <w:kern w:val="0"/>
                <w:sz w:val="21"/>
                <w:szCs w:val="21"/>
              </w:rPr>
            </w:pPr>
          </w:p>
        </w:tc>
        <w:tc>
          <w:tcPr>
            <w:tcW w:w="1883" w:type="dxa"/>
            <w:gridSpan w:val="3"/>
            <w:vAlign w:val="center"/>
          </w:tcPr>
          <w:p w14:paraId="4A50140A">
            <w:pPr>
              <w:spacing w:line="500" w:lineRule="exact"/>
              <w:rPr>
                <w:rFonts w:hint="eastAsia" w:ascii="宋体" w:hAnsi="宋体" w:cs="宋体"/>
                <w:kern w:val="0"/>
                <w:sz w:val="21"/>
                <w:szCs w:val="21"/>
              </w:rPr>
            </w:pPr>
            <w:r>
              <w:rPr>
                <w:rFonts w:hint="eastAsia" w:ascii="宋体" w:hAnsi="宋体" w:cs="宋体"/>
                <w:kern w:val="0"/>
                <w:sz w:val="21"/>
                <w:szCs w:val="21"/>
              </w:rPr>
              <w:t>技工</w:t>
            </w:r>
          </w:p>
        </w:tc>
        <w:tc>
          <w:tcPr>
            <w:tcW w:w="2268" w:type="dxa"/>
            <w:gridSpan w:val="2"/>
            <w:vAlign w:val="center"/>
          </w:tcPr>
          <w:p w14:paraId="7D1DA82F">
            <w:pPr>
              <w:spacing w:line="500" w:lineRule="exact"/>
              <w:rPr>
                <w:rFonts w:hint="eastAsia" w:ascii="宋体" w:hAnsi="宋体" w:cs="宋体"/>
                <w:b/>
                <w:bCs/>
                <w:kern w:val="0"/>
                <w:sz w:val="21"/>
                <w:szCs w:val="21"/>
              </w:rPr>
            </w:pPr>
          </w:p>
        </w:tc>
      </w:tr>
      <w:tr w14:paraId="159F25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62F3AC51">
            <w:pPr>
              <w:spacing w:line="500" w:lineRule="exact"/>
              <w:rPr>
                <w:rFonts w:hint="eastAsia" w:ascii="宋体" w:hAnsi="宋体" w:cs="宋体"/>
                <w:kern w:val="0"/>
                <w:sz w:val="21"/>
                <w:szCs w:val="21"/>
              </w:rPr>
            </w:pPr>
            <w:r>
              <w:rPr>
                <w:rFonts w:hint="eastAsia" w:ascii="宋体" w:hAnsi="宋体" w:cs="宋体"/>
                <w:kern w:val="0"/>
                <w:sz w:val="21"/>
                <w:szCs w:val="21"/>
              </w:rPr>
              <w:t>经营范围</w:t>
            </w:r>
          </w:p>
        </w:tc>
        <w:tc>
          <w:tcPr>
            <w:tcW w:w="7308" w:type="dxa"/>
            <w:gridSpan w:val="9"/>
            <w:vAlign w:val="center"/>
          </w:tcPr>
          <w:p w14:paraId="392683E8">
            <w:pPr>
              <w:spacing w:line="500" w:lineRule="exact"/>
              <w:rPr>
                <w:rFonts w:hint="eastAsia" w:ascii="宋体" w:hAnsi="宋体" w:cs="宋体"/>
                <w:b/>
                <w:bCs/>
                <w:kern w:val="0"/>
                <w:sz w:val="21"/>
                <w:szCs w:val="21"/>
              </w:rPr>
            </w:pPr>
          </w:p>
        </w:tc>
      </w:tr>
      <w:tr w14:paraId="1B3F21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155BB3BE">
            <w:pPr>
              <w:spacing w:line="500" w:lineRule="exact"/>
              <w:rPr>
                <w:rFonts w:hint="eastAsia" w:ascii="宋体" w:hAnsi="宋体" w:cs="宋体"/>
                <w:kern w:val="0"/>
                <w:sz w:val="21"/>
                <w:szCs w:val="21"/>
              </w:rPr>
            </w:pPr>
            <w:r>
              <w:rPr>
                <w:rFonts w:hint="eastAsia" w:ascii="宋体" w:hAnsi="宋体" w:cs="宋体"/>
                <w:kern w:val="0"/>
                <w:sz w:val="21"/>
                <w:szCs w:val="21"/>
              </w:rPr>
              <w:t>备注</w:t>
            </w:r>
          </w:p>
        </w:tc>
        <w:tc>
          <w:tcPr>
            <w:tcW w:w="7308" w:type="dxa"/>
            <w:gridSpan w:val="9"/>
            <w:vAlign w:val="center"/>
          </w:tcPr>
          <w:p w14:paraId="7A0B36B8">
            <w:pPr>
              <w:spacing w:line="500" w:lineRule="exact"/>
              <w:rPr>
                <w:rFonts w:hint="eastAsia" w:ascii="宋体" w:hAnsi="宋体" w:cs="宋体"/>
                <w:kern w:val="0"/>
                <w:sz w:val="21"/>
                <w:szCs w:val="21"/>
              </w:rPr>
            </w:pPr>
          </w:p>
        </w:tc>
      </w:tr>
    </w:tbl>
    <w:p w14:paraId="5FF945BF">
      <w:pPr>
        <w:spacing w:line="500" w:lineRule="exact"/>
        <w:rPr>
          <w:rFonts w:hint="eastAsia" w:asciiTheme="minorEastAsia" w:hAnsiTheme="minorEastAsia" w:eastAsiaTheme="minorEastAsia"/>
          <w:b/>
          <w:szCs w:val="28"/>
        </w:rPr>
      </w:pPr>
    </w:p>
    <w:p w14:paraId="78F595B0">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投标人名称：        （盖章）</w:t>
      </w:r>
    </w:p>
    <w:p w14:paraId="007C70F6">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sz w:val="28"/>
          <w:szCs w:val="28"/>
        </w:rPr>
        <w:t>法定代表人或授权代表（签字）</w:t>
      </w:r>
      <w:r>
        <w:rPr>
          <w:rFonts w:hint="eastAsia" w:asciiTheme="minorEastAsia" w:hAnsiTheme="minorEastAsia" w:eastAsiaTheme="minorEastAsia"/>
          <w:bCs/>
          <w:sz w:val="28"/>
          <w:szCs w:val="28"/>
        </w:rPr>
        <w:t>：</w:t>
      </w:r>
    </w:p>
    <w:p w14:paraId="41062FC2">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投标日期:</w:t>
      </w:r>
    </w:p>
    <w:p w14:paraId="25630DA1">
      <w:pPr>
        <w:spacing w:line="500" w:lineRule="exact"/>
        <w:ind w:firstLine="616" w:firstLineChars="257"/>
        <w:rPr>
          <w:rFonts w:hint="eastAsia" w:asciiTheme="minorEastAsia" w:hAnsiTheme="minorEastAsia" w:eastAsiaTheme="minorEastAsia"/>
        </w:rPr>
      </w:pPr>
    </w:p>
    <w:p w14:paraId="640EAADC">
      <w:pPr>
        <w:rPr>
          <w:rFonts w:hint="eastAsia" w:asciiTheme="minorEastAsia" w:hAnsiTheme="minorEastAsia" w:eastAsiaTheme="minorEastAsia"/>
          <w:b/>
          <w:sz w:val="28"/>
          <w:szCs w:val="28"/>
        </w:rPr>
      </w:pPr>
    </w:p>
    <w:p w14:paraId="21BD9DCE">
      <w:pPr>
        <w:autoSpaceDE w:val="0"/>
        <w:autoSpaceDN w:val="0"/>
        <w:adjustRightInd w:val="0"/>
        <w:snapToGrid w:val="0"/>
        <w:spacing w:line="360" w:lineRule="auto"/>
        <w:jc w:val="left"/>
        <w:outlineLvl w:val="1"/>
        <w:rPr>
          <w:rFonts w:hint="eastAsia" w:ascii="仿宋" w:hAnsi="仿宋" w:eastAsia="仿宋" w:cs="仿宋"/>
          <w:b/>
          <w:w w:val="99"/>
          <w:kern w:val="0"/>
          <w:sz w:val="28"/>
          <w:szCs w:val="28"/>
          <w:lang w:val="zh-CN"/>
        </w:rPr>
      </w:pPr>
      <w:r>
        <w:rPr>
          <w:rFonts w:hint="eastAsia" w:ascii="仿宋" w:hAnsi="仿宋" w:eastAsia="仿宋" w:cs="仿宋"/>
          <w:b/>
          <w:w w:val="99"/>
          <w:kern w:val="0"/>
          <w:sz w:val="28"/>
          <w:szCs w:val="28"/>
          <w:lang w:val="zh-CN"/>
        </w:rPr>
        <w:t>四、响应文件</w:t>
      </w:r>
    </w:p>
    <w:p w14:paraId="7A65A16E">
      <w:pPr>
        <w:spacing w:line="5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（根据招标要求由投标人自行编写）</w:t>
      </w:r>
    </w:p>
    <w:p w14:paraId="025BA030">
      <w:pPr>
        <w:spacing w:line="500" w:lineRule="exact"/>
        <w:rPr>
          <w:rFonts w:hint="eastAsia" w:ascii="仿宋" w:hAnsi="仿宋" w:eastAsia="仿宋" w:cs="仿宋"/>
          <w:bCs/>
          <w:color w:val="0000FF"/>
          <w:sz w:val="28"/>
          <w:szCs w:val="28"/>
        </w:rPr>
      </w:pPr>
      <w:r>
        <w:rPr>
          <w:rFonts w:hint="eastAsia" w:ascii="仿宋" w:hAnsi="仿宋" w:eastAsia="仿宋" w:cs="仿宋"/>
          <w:b/>
          <w:bCs/>
          <w:color w:val="0000FF"/>
          <w:kern w:val="0"/>
          <w:sz w:val="28"/>
          <w:szCs w:val="28"/>
        </w:rPr>
        <w:t>请列出技术偏离情况表</w:t>
      </w:r>
    </w:p>
    <w:p w14:paraId="101CF555">
      <w:pPr>
        <w:spacing w:line="500" w:lineRule="exact"/>
        <w:rPr>
          <w:rFonts w:hint="eastAsia" w:asciiTheme="minorEastAsia" w:hAnsiTheme="minorEastAsia" w:eastAsiaTheme="minorEastAsia"/>
          <w:bCs/>
          <w:szCs w:val="28"/>
        </w:rPr>
      </w:pPr>
    </w:p>
    <w:p w14:paraId="41FC7195">
      <w:pPr>
        <w:spacing w:line="500" w:lineRule="exact"/>
        <w:rPr>
          <w:rFonts w:hint="eastAsia" w:asciiTheme="minorEastAsia" w:hAnsiTheme="minorEastAsia" w:eastAsiaTheme="minorEastAsia"/>
          <w:bCs/>
          <w:szCs w:val="28"/>
        </w:rPr>
      </w:pPr>
    </w:p>
    <w:p w14:paraId="0C9E3859">
      <w:pPr>
        <w:spacing w:line="500" w:lineRule="exact"/>
        <w:rPr>
          <w:rFonts w:hint="eastAsia" w:asciiTheme="minorEastAsia" w:hAnsiTheme="minorEastAsia" w:eastAsiaTheme="minorEastAsia"/>
          <w:bCs/>
          <w:szCs w:val="28"/>
        </w:rPr>
      </w:pPr>
    </w:p>
    <w:p w14:paraId="2CE4724B">
      <w:pPr>
        <w:spacing w:line="500" w:lineRule="exact"/>
        <w:rPr>
          <w:rFonts w:hint="eastAsia" w:asciiTheme="minorEastAsia" w:hAnsiTheme="minorEastAsia" w:eastAsiaTheme="minorEastAsia"/>
          <w:bCs/>
          <w:szCs w:val="28"/>
        </w:rPr>
      </w:pPr>
    </w:p>
    <w:p w14:paraId="5301776B">
      <w:pPr>
        <w:spacing w:line="500" w:lineRule="exact"/>
        <w:rPr>
          <w:rFonts w:hint="eastAsia" w:asciiTheme="minorEastAsia" w:hAnsiTheme="minorEastAsia" w:eastAsiaTheme="minorEastAsia"/>
          <w:bCs/>
          <w:szCs w:val="28"/>
        </w:rPr>
      </w:pPr>
    </w:p>
    <w:p w14:paraId="7A4F2B58">
      <w:pPr>
        <w:spacing w:line="500" w:lineRule="exact"/>
        <w:rPr>
          <w:rFonts w:hint="eastAsia" w:asciiTheme="minorEastAsia" w:hAnsiTheme="minorEastAsia" w:eastAsiaTheme="minorEastAsia"/>
          <w:bCs/>
          <w:szCs w:val="28"/>
        </w:rPr>
      </w:pPr>
    </w:p>
    <w:p w14:paraId="4A3EC940">
      <w:pPr>
        <w:spacing w:line="500" w:lineRule="exact"/>
        <w:rPr>
          <w:rFonts w:hint="eastAsia" w:asciiTheme="minorEastAsia" w:hAnsiTheme="minorEastAsia" w:eastAsiaTheme="minorEastAsia"/>
          <w:bCs/>
          <w:szCs w:val="28"/>
        </w:rPr>
      </w:pPr>
    </w:p>
    <w:p w14:paraId="65BB86DF">
      <w:pPr>
        <w:spacing w:line="500" w:lineRule="exact"/>
        <w:rPr>
          <w:rFonts w:hint="eastAsia" w:asciiTheme="minorEastAsia" w:hAnsiTheme="minorEastAsia" w:eastAsiaTheme="minorEastAsia"/>
          <w:bCs/>
          <w:szCs w:val="28"/>
        </w:rPr>
      </w:pPr>
    </w:p>
    <w:p w14:paraId="6632050E">
      <w:pPr>
        <w:spacing w:line="500" w:lineRule="exact"/>
        <w:rPr>
          <w:rFonts w:hint="eastAsia" w:asciiTheme="minorEastAsia" w:hAnsiTheme="minorEastAsia" w:eastAsiaTheme="minorEastAsia"/>
          <w:bCs/>
          <w:szCs w:val="28"/>
        </w:rPr>
      </w:pPr>
    </w:p>
    <w:p w14:paraId="27F8E771">
      <w:pPr>
        <w:spacing w:line="500" w:lineRule="exact"/>
        <w:rPr>
          <w:rFonts w:hint="eastAsia" w:asciiTheme="minorEastAsia" w:hAnsiTheme="minorEastAsia" w:eastAsiaTheme="minorEastAsia"/>
          <w:bCs/>
          <w:szCs w:val="28"/>
        </w:rPr>
      </w:pPr>
    </w:p>
    <w:p w14:paraId="12D3AF79">
      <w:pPr>
        <w:spacing w:line="500" w:lineRule="exact"/>
        <w:rPr>
          <w:rFonts w:hint="eastAsia" w:asciiTheme="minorEastAsia" w:hAnsiTheme="minorEastAsia" w:eastAsiaTheme="minorEastAsia"/>
          <w:bCs/>
          <w:szCs w:val="28"/>
        </w:rPr>
      </w:pPr>
    </w:p>
    <w:p w14:paraId="5DFF6B21">
      <w:pPr>
        <w:spacing w:line="500" w:lineRule="exact"/>
        <w:rPr>
          <w:rFonts w:hint="eastAsia" w:asciiTheme="minorEastAsia" w:hAnsiTheme="minorEastAsia" w:eastAsiaTheme="minorEastAsia"/>
          <w:bCs/>
          <w:szCs w:val="28"/>
        </w:rPr>
      </w:pPr>
    </w:p>
    <w:p w14:paraId="2ABDB758">
      <w:pPr>
        <w:spacing w:line="500" w:lineRule="exact"/>
        <w:rPr>
          <w:rFonts w:hint="eastAsia" w:asciiTheme="minorEastAsia" w:hAnsiTheme="minorEastAsia" w:eastAsiaTheme="minorEastAsia"/>
          <w:bCs/>
          <w:szCs w:val="28"/>
        </w:rPr>
      </w:pPr>
    </w:p>
    <w:p w14:paraId="4B2F6317">
      <w:pPr>
        <w:spacing w:line="500" w:lineRule="exact"/>
        <w:rPr>
          <w:rFonts w:hint="eastAsia" w:asciiTheme="minorEastAsia" w:hAnsiTheme="minorEastAsia" w:eastAsiaTheme="minorEastAsia"/>
          <w:bCs/>
          <w:szCs w:val="28"/>
        </w:rPr>
      </w:pPr>
    </w:p>
    <w:p w14:paraId="73F94511">
      <w:pPr>
        <w:spacing w:line="500" w:lineRule="exact"/>
        <w:rPr>
          <w:rFonts w:hint="eastAsia" w:asciiTheme="minorEastAsia" w:hAnsiTheme="minorEastAsia" w:eastAsiaTheme="minorEastAsia"/>
          <w:bCs/>
          <w:szCs w:val="28"/>
        </w:rPr>
      </w:pPr>
    </w:p>
    <w:p w14:paraId="3CDB839A">
      <w:pPr>
        <w:spacing w:line="500" w:lineRule="exact"/>
        <w:rPr>
          <w:rFonts w:hint="eastAsia" w:asciiTheme="minorEastAsia" w:hAnsiTheme="minorEastAsia" w:eastAsiaTheme="minorEastAsia"/>
          <w:bCs/>
          <w:szCs w:val="28"/>
        </w:rPr>
      </w:pPr>
    </w:p>
    <w:p w14:paraId="4C549079">
      <w:pPr>
        <w:spacing w:line="500" w:lineRule="exact"/>
        <w:rPr>
          <w:rFonts w:hint="eastAsia" w:asciiTheme="minorEastAsia" w:hAnsiTheme="minorEastAsia" w:eastAsiaTheme="minorEastAsia"/>
          <w:bCs/>
          <w:szCs w:val="28"/>
        </w:rPr>
      </w:pPr>
    </w:p>
    <w:p w14:paraId="63375084">
      <w:pPr>
        <w:spacing w:line="500" w:lineRule="exact"/>
        <w:rPr>
          <w:rFonts w:hint="eastAsia" w:asciiTheme="minorEastAsia" w:hAnsiTheme="minorEastAsia" w:eastAsiaTheme="minorEastAsia"/>
          <w:bCs/>
          <w:szCs w:val="28"/>
        </w:rPr>
      </w:pPr>
    </w:p>
    <w:p w14:paraId="5C18BAA2">
      <w:pPr>
        <w:spacing w:line="500" w:lineRule="exact"/>
        <w:rPr>
          <w:rFonts w:hint="eastAsia" w:asciiTheme="minorEastAsia" w:hAnsiTheme="minorEastAsia" w:eastAsiaTheme="minorEastAsia"/>
          <w:bCs/>
          <w:szCs w:val="28"/>
        </w:rPr>
      </w:pPr>
    </w:p>
    <w:p w14:paraId="3BBCBB28">
      <w:pPr>
        <w:spacing w:line="500" w:lineRule="exact"/>
        <w:rPr>
          <w:rFonts w:hint="eastAsia" w:asciiTheme="minorEastAsia" w:hAnsiTheme="minorEastAsia" w:eastAsiaTheme="minorEastAsia"/>
          <w:bCs/>
          <w:szCs w:val="28"/>
        </w:rPr>
      </w:pPr>
    </w:p>
    <w:p w14:paraId="5264D35C">
      <w:pPr>
        <w:spacing w:line="500" w:lineRule="exact"/>
        <w:rPr>
          <w:rFonts w:hint="eastAsia" w:asciiTheme="minorEastAsia" w:hAnsiTheme="minorEastAsia" w:eastAsiaTheme="minorEastAsia"/>
          <w:bCs/>
          <w:szCs w:val="28"/>
        </w:rPr>
      </w:pPr>
    </w:p>
    <w:p w14:paraId="010D447F">
      <w:pPr>
        <w:spacing w:line="500" w:lineRule="exact"/>
        <w:rPr>
          <w:rFonts w:hint="eastAsia" w:asciiTheme="minorEastAsia" w:hAnsiTheme="minorEastAsia" w:eastAsiaTheme="minorEastAsia"/>
          <w:bCs/>
          <w:szCs w:val="28"/>
        </w:rPr>
      </w:pPr>
    </w:p>
    <w:p w14:paraId="750967F8">
      <w:pPr>
        <w:spacing w:line="500" w:lineRule="exact"/>
        <w:rPr>
          <w:rFonts w:hint="eastAsia" w:asciiTheme="minorEastAsia" w:hAnsiTheme="minorEastAsia" w:eastAsiaTheme="minorEastAsia"/>
          <w:bCs/>
          <w:szCs w:val="28"/>
        </w:rPr>
      </w:pPr>
    </w:p>
    <w:p w14:paraId="04E678E7">
      <w:pPr>
        <w:spacing w:line="500" w:lineRule="exact"/>
        <w:rPr>
          <w:rFonts w:hint="eastAsia" w:asciiTheme="minorEastAsia" w:hAnsiTheme="minorEastAsia" w:eastAsiaTheme="minorEastAsia"/>
          <w:bCs/>
          <w:szCs w:val="28"/>
        </w:rPr>
      </w:pPr>
    </w:p>
    <w:p w14:paraId="0A48C912">
      <w:pPr>
        <w:rPr>
          <w:rFonts w:hint="eastAsia" w:ascii="仿宋" w:hAnsi="仿宋" w:eastAsia="仿宋" w:cs="仿宋"/>
          <w:b/>
          <w:sz w:val="28"/>
          <w:szCs w:val="28"/>
        </w:rPr>
      </w:pPr>
    </w:p>
    <w:p w14:paraId="3BC121B9">
      <w:pPr>
        <w:rPr>
          <w:rFonts w:hint="eastAsia" w:ascii="仿宋" w:hAnsi="仿宋" w:eastAsia="仿宋" w:cs="仿宋"/>
          <w:b/>
          <w:sz w:val="28"/>
          <w:szCs w:val="28"/>
        </w:rPr>
      </w:pPr>
      <w:r>
        <w:rPr>
          <w:rFonts w:hint="eastAsia" w:ascii="仿宋" w:hAnsi="仿宋" w:eastAsia="仿宋" w:cs="仿宋"/>
          <w:b/>
          <w:sz w:val="28"/>
          <w:szCs w:val="28"/>
        </w:rPr>
        <w:t>五、 售后服务</w:t>
      </w:r>
    </w:p>
    <w:p w14:paraId="16C497E9">
      <w:pPr>
        <w:rPr>
          <w:rFonts w:hint="eastAsia" w:asciiTheme="minorEastAsia" w:hAnsiTheme="minorEastAsia" w:eastAsiaTheme="minorEastAsia"/>
          <w:b/>
          <w:sz w:val="28"/>
          <w:szCs w:val="28"/>
        </w:rPr>
      </w:pPr>
    </w:p>
    <w:p w14:paraId="313EC4F6">
      <w:pPr>
        <w:rPr>
          <w:rFonts w:hint="eastAsia" w:ascii="仿宋" w:hAnsi="仿宋" w:eastAsia="仿宋" w:cs="仿宋"/>
          <w:b/>
          <w:sz w:val="28"/>
          <w:szCs w:val="28"/>
        </w:rPr>
      </w:pPr>
      <w:r>
        <w:rPr>
          <w:rFonts w:hint="eastAsia" w:ascii="仿宋" w:hAnsi="仿宋" w:eastAsia="仿宋" w:cs="仿宋"/>
          <w:b/>
          <w:sz w:val="28"/>
          <w:szCs w:val="28"/>
        </w:rPr>
        <w:t xml:space="preserve">（根据招标要求由投标人自行编写）  </w:t>
      </w:r>
    </w:p>
    <w:p w14:paraId="25567C66">
      <w:pPr>
        <w:rPr>
          <w:rFonts w:hint="eastAsia" w:ascii="仿宋" w:hAnsi="仿宋" w:eastAsia="仿宋" w:cs="仿宋"/>
          <w:b/>
          <w:sz w:val="28"/>
          <w:szCs w:val="28"/>
        </w:rPr>
      </w:pPr>
      <w:r>
        <w:rPr>
          <w:rFonts w:hint="eastAsia" w:ascii="仿宋" w:hAnsi="仿宋" w:eastAsia="仿宋" w:cs="仿宋"/>
          <w:b/>
          <w:color w:val="0000FF"/>
          <w:sz w:val="28"/>
          <w:szCs w:val="28"/>
          <w:lang w:val="en-US" w:eastAsia="zh-CN"/>
        </w:rPr>
        <w:t>包含售后服务方案、培训方案等，请列出与招标文件的偏离情况表</w:t>
      </w:r>
      <w:r>
        <w:rPr>
          <w:rFonts w:hint="eastAsia" w:ascii="仿宋" w:hAnsi="仿宋" w:eastAsia="仿宋" w:cs="仿宋"/>
          <w:b/>
          <w:color w:val="0000FF"/>
          <w:sz w:val="28"/>
          <w:szCs w:val="28"/>
        </w:rPr>
        <w:t xml:space="preserve"> </w:t>
      </w:r>
      <w:r>
        <w:rPr>
          <w:rFonts w:hint="eastAsia" w:ascii="仿宋" w:hAnsi="仿宋" w:eastAsia="仿宋" w:cs="仿宋"/>
          <w:b/>
          <w:color w:val="0000FF"/>
          <w:sz w:val="28"/>
          <w:szCs w:val="28"/>
          <w:lang w:eastAsia="zh-CN"/>
        </w:rPr>
        <w:t>。</w:t>
      </w:r>
      <w:r>
        <w:rPr>
          <w:rFonts w:hint="eastAsia" w:ascii="仿宋" w:hAnsi="仿宋" w:eastAsia="仿宋" w:cs="仿宋"/>
          <w:b/>
          <w:color w:val="0000FF"/>
          <w:sz w:val="28"/>
          <w:szCs w:val="28"/>
        </w:rPr>
        <w:t xml:space="preserve"> </w:t>
      </w:r>
      <w:r>
        <w:rPr>
          <w:rFonts w:hint="eastAsia" w:ascii="仿宋" w:hAnsi="仿宋" w:eastAsia="仿宋" w:cs="仿宋"/>
          <w:b/>
          <w:sz w:val="28"/>
          <w:szCs w:val="28"/>
        </w:rPr>
        <w:t xml:space="preserve">                              </w:t>
      </w:r>
    </w:p>
    <w:p w14:paraId="01EF2C20">
      <w:pPr>
        <w:rPr>
          <w:rFonts w:hint="eastAsia" w:ascii="仿宋" w:hAnsi="仿宋" w:eastAsia="仿宋" w:cs="仿宋"/>
          <w:b/>
          <w:sz w:val="28"/>
          <w:szCs w:val="28"/>
        </w:rPr>
      </w:pPr>
    </w:p>
    <w:p w14:paraId="4F7C7DA6">
      <w:pPr>
        <w:rPr>
          <w:rFonts w:hint="eastAsia" w:ascii="仿宋" w:hAnsi="仿宋" w:eastAsia="仿宋" w:cs="仿宋"/>
          <w:b/>
          <w:sz w:val="28"/>
          <w:szCs w:val="28"/>
        </w:rPr>
      </w:pPr>
    </w:p>
    <w:p w14:paraId="75ED21B8">
      <w:pPr>
        <w:rPr>
          <w:rFonts w:hint="eastAsia" w:ascii="仿宋" w:hAnsi="仿宋" w:eastAsia="仿宋" w:cs="仿宋"/>
          <w:b/>
          <w:sz w:val="28"/>
          <w:szCs w:val="28"/>
        </w:rPr>
      </w:pPr>
    </w:p>
    <w:p w14:paraId="25338D93">
      <w:pPr>
        <w:rPr>
          <w:rFonts w:hint="eastAsia" w:ascii="仿宋" w:hAnsi="仿宋" w:eastAsia="仿宋" w:cs="仿宋"/>
          <w:b/>
          <w:sz w:val="28"/>
          <w:szCs w:val="28"/>
        </w:rPr>
      </w:pPr>
    </w:p>
    <w:p w14:paraId="45CB1273">
      <w:pPr>
        <w:rPr>
          <w:rFonts w:hint="eastAsia" w:ascii="仿宋" w:hAnsi="仿宋" w:eastAsia="仿宋" w:cs="仿宋"/>
          <w:b/>
          <w:sz w:val="28"/>
          <w:szCs w:val="28"/>
        </w:rPr>
      </w:pPr>
    </w:p>
    <w:p w14:paraId="1A8F9BA6">
      <w:pPr>
        <w:rPr>
          <w:rFonts w:hint="eastAsia" w:ascii="仿宋" w:hAnsi="仿宋" w:eastAsia="仿宋" w:cs="仿宋"/>
          <w:b/>
          <w:sz w:val="28"/>
          <w:szCs w:val="28"/>
        </w:rPr>
      </w:pPr>
    </w:p>
    <w:p w14:paraId="1252E8ED">
      <w:pPr>
        <w:rPr>
          <w:rFonts w:hint="eastAsia" w:ascii="仿宋" w:hAnsi="仿宋" w:eastAsia="仿宋" w:cs="仿宋"/>
          <w:b/>
          <w:sz w:val="28"/>
          <w:szCs w:val="28"/>
        </w:rPr>
      </w:pPr>
    </w:p>
    <w:p w14:paraId="11BE99BA">
      <w:pPr>
        <w:rPr>
          <w:rFonts w:hint="eastAsia" w:ascii="仿宋" w:hAnsi="仿宋" w:eastAsia="仿宋" w:cs="仿宋"/>
          <w:b/>
          <w:sz w:val="28"/>
          <w:szCs w:val="28"/>
        </w:rPr>
      </w:pPr>
    </w:p>
    <w:p w14:paraId="581C2EF0">
      <w:pPr>
        <w:rPr>
          <w:rFonts w:hint="eastAsia" w:ascii="仿宋" w:hAnsi="仿宋" w:eastAsia="仿宋" w:cs="仿宋"/>
          <w:b/>
          <w:sz w:val="28"/>
          <w:szCs w:val="28"/>
        </w:rPr>
      </w:pPr>
    </w:p>
    <w:p w14:paraId="4C419A22">
      <w:pPr>
        <w:rPr>
          <w:rFonts w:hint="eastAsia" w:ascii="仿宋" w:hAnsi="仿宋" w:eastAsia="仿宋" w:cs="仿宋"/>
          <w:b/>
          <w:sz w:val="28"/>
          <w:szCs w:val="28"/>
        </w:rPr>
      </w:pPr>
    </w:p>
    <w:p w14:paraId="0BC2E83D">
      <w:pPr>
        <w:rPr>
          <w:rFonts w:hint="eastAsia" w:ascii="仿宋" w:hAnsi="仿宋" w:eastAsia="仿宋" w:cs="仿宋"/>
          <w:b/>
          <w:sz w:val="28"/>
          <w:szCs w:val="28"/>
        </w:rPr>
      </w:pPr>
    </w:p>
    <w:p w14:paraId="4F54367D">
      <w:pPr>
        <w:rPr>
          <w:rFonts w:hint="eastAsia" w:ascii="仿宋" w:hAnsi="仿宋" w:eastAsia="仿宋" w:cs="仿宋"/>
          <w:b/>
          <w:sz w:val="28"/>
          <w:szCs w:val="28"/>
        </w:rPr>
      </w:pPr>
    </w:p>
    <w:p w14:paraId="6CBB3A71">
      <w:pPr>
        <w:rPr>
          <w:rFonts w:hint="eastAsia" w:ascii="仿宋" w:hAnsi="仿宋" w:eastAsia="仿宋" w:cs="仿宋"/>
          <w:b/>
          <w:sz w:val="28"/>
          <w:szCs w:val="28"/>
        </w:rPr>
      </w:pPr>
    </w:p>
    <w:p w14:paraId="65BDE381">
      <w:pPr>
        <w:rPr>
          <w:rFonts w:hint="eastAsia" w:ascii="仿宋" w:hAnsi="仿宋" w:eastAsia="仿宋" w:cs="仿宋"/>
          <w:b/>
          <w:sz w:val="28"/>
          <w:szCs w:val="28"/>
        </w:rPr>
      </w:pPr>
    </w:p>
    <w:p w14:paraId="40CDBFC7">
      <w:pPr>
        <w:rPr>
          <w:rFonts w:hint="eastAsia" w:ascii="仿宋" w:hAnsi="仿宋" w:eastAsia="仿宋" w:cs="仿宋"/>
          <w:b/>
          <w:sz w:val="28"/>
          <w:szCs w:val="28"/>
        </w:rPr>
      </w:pPr>
    </w:p>
    <w:p w14:paraId="30430F0F">
      <w:pPr>
        <w:rPr>
          <w:rFonts w:hint="eastAsia" w:ascii="仿宋" w:hAnsi="仿宋" w:eastAsia="仿宋" w:cs="仿宋"/>
          <w:b/>
          <w:sz w:val="28"/>
          <w:szCs w:val="28"/>
        </w:rPr>
      </w:pPr>
    </w:p>
    <w:p w14:paraId="17A57D28">
      <w:pPr>
        <w:rPr>
          <w:rFonts w:hint="eastAsia" w:ascii="仿宋" w:hAnsi="仿宋" w:eastAsia="仿宋" w:cs="仿宋"/>
          <w:b/>
          <w:sz w:val="28"/>
          <w:szCs w:val="28"/>
        </w:rPr>
      </w:pPr>
    </w:p>
    <w:p w14:paraId="42BF1EAE">
      <w:pPr>
        <w:rPr>
          <w:rFonts w:hint="eastAsia" w:ascii="仿宋" w:hAnsi="仿宋" w:eastAsia="仿宋" w:cs="仿宋"/>
          <w:b/>
          <w:sz w:val="28"/>
          <w:szCs w:val="28"/>
        </w:rPr>
      </w:pPr>
    </w:p>
    <w:p w14:paraId="3908C710">
      <w:pPr>
        <w:rPr>
          <w:rFonts w:hint="eastAsia" w:ascii="仿宋" w:hAnsi="仿宋" w:eastAsia="仿宋" w:cs="仿宋"/>
          <w:b/>
          <w:sz w:val="28"/>
          <w:szCs w:val="28"/>
        </w:rPr>
      </w:pPr>
    </w:p>
    <w:p w14:paraId="20C98017">
      <w:pPr>
        <w:rPr>
          <w:rFonts w:hint="eastAsia" w:ascii="仿宋" w:hAnsi="仿宋" w:eastAsia="仿宋" w:cs="仿宋"/>
          <w:b/>
          <w:sz w:val="28"/>
          <w:szCs w:val="28"/>
        </w:rPr>
      </w:pPr>
    </w:p>
    <w:p w14:paraId="6D43AC93">
      <w:pPr>
        <w:rPr>
          <w:rFonts w:hint="eastAsia" w:ascii="仿宋" w:hAnsi="仿宋" w:eastAsia="仿宋" w:cs="仿宋"/>
          <w:b/>
          <w:sz w:val="28"/>
          <w:szCs w:val="28"/>
        </w:rPr>
      </w:pPr>
    </w:p>
    <w:p w14:paraId="58406269">
      <w:pPr>
        <w:rPr>
          <w:rFonts w:hint="eastAsia" w:ascii="仿宋" w:hAnsi="仿宋" w:eastAsia="仿宋" w:cs="仿宋"/>
          <w:b/>
          <w:sz w:val="28"/>
          <w:szCs w:val="28"/>
        </w:rPr>
      </w:pPr>
    </w:p>
    <w:p w14:paraId="390C3C46">
      <w:pPr>
        <w:rPr>
          <w:rFonts w:hint="eastAsia" w:ascii="仿宋" w:hAnsi="仿宋" w:eastAsia="仿宋" w:cs="仿宋"/>
          <w:b/>
          <w:sz w:val="28"/>
          <w:szCs w:val="28"/>
        </w:rPr>
      </w:pPr>
    </w:p>
    <w:p w14:paraId="25711303">
      <w:pPr>
        <w:rPr>
          <w:rFonts w:hint="eastAsia" w:ascii="仿宋" w:hAnsi="仿宋" w:eastAsia="仿宋" w:cs="仿宋"/>
          <w:b/>
          <w:sz w:val="28"/>
          <w:szCs w:val="28"/>
        </w:rPr>
      </w:pPr>
    </w:p>
    <w:p w14:paraId="7DF31BCC">
      <w:pPr>
        <w:rPr>
          <w:rFonts w:hint="eastAsia" w:ascii="仿宋" w:hAnsi="仿宋" w:eastAsia="仿宋" w:cs="仿宋"/>
          <w:b/>
          <w:sz w:val="28"/>
          <w:szCs w:val="28"/>
        </w:rPr>
      </w:pPr>
    </w:p>
    <w:p w14:paraId="727E6CC6">
      <w:pPr>
        <w:rPr>
          <w:rFonts w:hint="eastAsia" w:ascii="仿宋" w:hAnsi="仿宋" w:eastAsia="仿宋" w:cs="仿宋"/>
          <w:b/>
          <w:sz w:val="28"/>
          <w:szCs w:val="28"/>
        </w:rPr>
      </w:pPr>
    </w:p>
    <w:p w14:paraId="771FD7F2">
      <w:pPr>
        <w:rPr>
          <w:rFonts w:hint="eastAsia" w:ascii="仿宋" w:hAnsi="仿宋" w:eastAsia="仿宋" w:cs="仿宋"/>
          <w:b/>
          <w:sz w:val="28"/>
          <w:szCs w:val="28"/>
        </w:rPr>
      </w:pPr>
    </w:p>
    <w:p w14:paraId="1BAC4E09">
      <w:pPr>
        <w:rPr>
          <w:rFonts w:hint="eastAsia" w:ascii="仿宋" w:hAnsi="仿宋" w:eastAsia="仿宋" w:cs="仿宋"/>
          <w:b/>
          <w:sz w:val="28"/>
          <w:szCs w:val="28"/>
        </w:rPr>
      </w:pPr>
    </w:p>
    <w:p w14:paraId="3C3A7122">
      <w:pPr>
        <w:rPr>
          <w:rFonts w:hint="eastAsia" w:ascii="仿宋" w:hAnsi="仿宋" w:eastAsia="仿宋" w:cs="仿宋"/>
          <w:b/>
          <w:sz w:val="28"/>
          <w:szCs w:val="28"/>
        </w:rPr>
      </w:pPr>
    </w:p>
    <w:p w14:paraId="2912F23B">
      <w:pPr>
        <w:rPr>
          <w:rFonts w:hint="eastAsia" w:ascii="仿宋" w:hAnsi="仿宋" w:eastAsia="仿宋" w:cs="仿宋"/>
          <w:b/>
          <w:sz w:val="28"/>
          <w:szCs w:val="28"/>
        </w:rPr>
      </w:pPr>
    </w:p>
    <w:p w14:paraId="56E382D8">
      <w:pPr>
        <w:rPr>
          <w:rFonts w:hint="eastAsia" w:ascii="仿宋" w:hAnsi="仿宋" w:eastAsia="仿宋" w:cs="仿宋"/>
          <w:b/>
          <w:sz w:val="28"/>
          <w:szCs w:val="28"/>
        </w:rPr>
      </w:pPr>
    </w:p>
    <w:p w14:paraId="711F8842">
      <w:pPr>
        <w:rPr>
          <w:rFonts w:hint="eastAsia" w:ascii="仿宋" w:hAnsi="仿宋" w:eastAsia="仿宋" w:cs="仿宋"/>
          <w:b/>
          <w:sz w:val="28"/>
          <w:szCs w:val="28"/>
        </w:rPr>
      </w:pPr>
    </w:p>
    <w:p w14:paraId="61BB4C7A">
      <w:pPr>
        <w:rPr>
          <w:rFonts w:hint="eastAsia" w:ascii="仿宋" w:hAnsi="仿宋" w:eastAsia="仿宋" w:cs="仿宋"/>
          <w:b/>
          <w:sz w:val="28"/>
          <w:szCs w:val="28"/>
        </w:rPr>
      </w:pPr>
    </w:p>
    <w:p w14:paraId="6971D1F0">
      <w:pPr>
        <w:rPr>
          <w:rFonts w:hint="eastAsia" w:ascii="仿宋" w:hAnsi="仿宋" w:eastAsia="仿宋" w:cs="仿宋"/>
          <w:b/>
          <w:sz w:val="28"/>
          <w:szCs w:val="28"/>
        </w:rPr>
      </w:pPr>
    </w:p>
    <w:p w14:paraId="4E8FDA6C">
      <w:pPr>
        <w:pStyle w:val="41"/>
        <w:ind w:firstLine="281"/>
        <w:rPr>
          <w:rFonts w:hint="eastAsia" w:ascii="仿宋" w:hAnsi="仿宋" w:eastAsia="仿宋" w:cs="仿宋"/>
          <w:b/>
          <w:sz w:val="28"/>
          <w:szCs w:val="28"/>
        </w:rPr>
      </w:pPr>
    </w:p>
    <w:p w14:paraId="5073AFEE">
      <w:pPr>
        <w:pStyle w:val="41"/>
        <w:ind w:firstLine="240"/>
      </w:pPr>
    </w:p>
    <w:p w14:paraId="657BBCB6">
      <w:pPr>
        <w:numPr>
          <w:ilvl w:val="0"/>
          <w:numId w:val="16"/>
        </w:numPr>
        <w:rPr>
          <w:rFonts w:hint="eastAsia" w:ascii="仿宋" w:hAnsi="仿宋" w:eastAsia="仿宋" w:cs="仿宋"/>
          <w:b/>
          <w:sz w:val="28"/>
          <w:szCs w:val="28"/>
        </w:rPr>
      </w:pPr>
      <w:r>
        <w:rPr>
          <w:rFonts w:hint="eastAsia" w:ascii="仿宋" w:hAnsi="仿宋" w:eastAsia="仿宋" w:cs="仿宋"/>
          <w:b/>
          <w:sz w:val="28"/>
          <w:szCs w:val="28"/>
        </w:rPr>
        <w:t xml:space="preserve">相关资质证明及承诺    </w:t>
      </w:r>
    </w:p>
    <w:p w14:paraId="2571362A">
      <w:pPr>
        <w:rPr>
          <w:rFonts w:hint="eastAsia" w:ascii="仿宋" w:hAnsi="仿宋" w:eastAsia="仿宋" w:cs="仿宋"/>
          <w:b/>
          <w:sz w:val="28"/>
          <w:szCs w:val="28"/>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
          <w:sz w:val="28"/>
          <w:szCs w:val="28"/>
        </w:rPr>
        <w:t>营业执照、 员工持证、荣誉等</w:t>
      </w:r>
    </w:p>
    <w:p w14:paraId="279DCCEF">
      <w:pPr>
        <w:rPr>
          <w:rFonts w:hint="eastAsia" w:ascii="仿宋" w:hAnsi="仿宋" w:eastAsia="仿宋" w:cs="仿宋"/>
          <w:b/>
          <w:sz w:val="28"/>
          <w:szCs w:val="28"/>
        </w:rPr>
      </w:pPr>
      <w:r>
        <w:rPr>
          <w:rFonts w:hint="eastAsia" w:ascii="仿宋" w:hAnsi="仿宋" w:eastAsia="仿宋" w:cs="仿宋"/>
          <w:b/>
          <w:sz w:val="28"/>
          <w:szCs w:val="28"/>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31F70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6BCBBB0C">
            <w:pPr>
              <w:spacing w:line="500" w:lineRule="exact"/>
              <w:jc w:val="center"/>
              <w:rPr>
                <w:rFonts w:hint="eastAsia" w:ascii="宋体" w:hAnsi="宋体" w:cs="宋体"/>
                <w:b/>
                <w:sz w:val="21"/>
                <w:szCs w:val="21"/>
              </w:rPr>
            </w:pPr>
            <w:r>
              <w:rPr>
                <w:rFonts w:hint="eastAsia" w:ascii="宋体" w:hAnsi="宋体" w:cs="宋体"/>
                <w:b/>
                <w:sz w:val="21"/>
                <w:szCs w:val="21"/>
              </w:rPr>
              <w:t>年份</w:t>
            </w:r>
          </w:p>
        </w:tc>
        <w:tc>
          <w:tcPr>
            <w:tcW w:w="1239" w:type="dxa"/>
            <w:vAlign w:val="center"/>
          </w:tcPr>
          <w:p w14:paraId="01D3AD7B">
            <w:pPr>
              <w:spacing w:line="500" w:lineRule="exact"/>
              <w:jc w:val="center"/>
              <w:rPr>
                <w:rFonts w:hint="eastAsia" w:ascii="宋体" w:hAnsi="宋体" w:cs="宋体"/>
                <w:b/>
                <w:sz w:val="21"/>
                <w:szCs w:val="21"/>
              </w:rPr>
            </w:pPr>
            <w:r>
              <w:rPr>
                <w:rFonts w:hint="eastAsia" w:ascii="宋体" w:hAnsi="宋体" w:cs="宋体"/>
                <w:b/>
                <w:sz w:val="21"/>
                <w:szCs w:val="21"/>
              </w:rPr>
              <w:t>用户名称</w:t>
            </w:r>
          </w:p>
        </w:tc>
        <w:tc>
          <w:tcPr>
            <w:tcW w:w="1260" w:type="dxa"/>
            <w:vAlign w:val="center"/>
          </w:tcPr>
          <w:p w14:paraId="30B2ED60">
            <w:pPr>
              <w:spacing w:line="500" w:lineRule="exact"/>
              <w:jc w:val="center"/>
              <w:rPr>
                <w:rFonts w:hint="eastAsia" w:ascii="宋体" w:hAnsi="宋体" w:cs="宋体"/>
                <w:b/>
                <w:sz w:val="21"/>
                <w:szCs w:val="21"/>
              </w:rPr>
            </w:pPr>
            <w:r>
              <w:rPr>
                <w:rFonts w:hint="eastAsia" w:ascii="宋体" w:hAnsi="宋体" w:cs="宋体"/>
                <w:b/>
                <w:sz w:val="21"/>
                <w:szCs w:val="21"/>
              </w:rPr>
              <w:t>项目名称</w:t>
            </w:r>
          </w:p>
        </w:tc>
        <w:tc>
          <w:tcPr>
            <w:tcW w:w="1620" w:type="dxa"/>
            <w:vAlign w:val="center"/>
          </w:tcPr>
          <w:p w14:paraId="5B493D5D">
            <w:pPr>
              <w:spacing w:line="500" w:lineRule="exact"/>
              <w:jc w:val="center"/>
              <w:rPr>
                <w:rFonts w:hint="eastAsia" w:ascii="宋体" w:hAnsi="宋体" w:cs="宋体"/>
                <w:b/>
                <w:sz w:val="21"/>
                <w:szCs w:val="21"/>
              </w:rPr>
            </w:pPr>
            <w:r>
              <w:rPr>
                <w:rFonts w:hint="eastAsia" w:ascii="宋体" w:hAnsi="宋体" w:cs="宋体"/>
                <w:b/>
                <w:sz w:val="21"/>
                <w:szCs w:val="21"/>
              </w:rPr>
              <w:t>完成时间或在建</w:t>
            </w:r>
          </w:p>
        </w:tc>
        <w:tc>
          <w:tcPr>
            <w:tcW w:w="1620" w:type="dxa"/>
            <w:tcBorders>
              <w:right w:val="single" w:color="auto" w:sz="4" w:space="0"/>
            </w:tcBorders>
            <w:vAlign w:val="center"/>
          </w:tcPr>
          <w:p w14:paraId="23C40030">
            <w:pPr>
              <w:spacing w:line="500" w:lineRule="exact"/>
              <w:jc w:val="center"/>
              <w:rPr>
                <w:rFonts w:hint="eastAsia" w:ascii="宋体" w:hAnsi="宋体" w:cs="宋体"/>
                <w:b/>
                <w:sz w:val="21"/>
                <w:szCs w:val="21"/>
              </w:rPr>
            </w:pPr>
            <w:r>
              <w:rPr>
                <w:rFonts w:hint="eastAsia" w:ascii="宋体" w:hAnsi="宋体" w:cs="宋体"/>
                <w:b/>
                <w:sz w:val="21"/>
                <w:szCs w:val="21"/>
              </w:rPr>
              <w:t>完成项目质量</w:t>
            </w:r>
          </w:p>
        </w:tc>
        <w:tc>
          <w:tcPr>
            <w:tcW w:w="1341" w:type="dxa"/>
            <w:tcBorders>
              <w:left w:val="single" w:color="auto" w:sz="4" w:space="0"/>
            </w:tcBorders>
            <w:vAlign w:val="center"/>
          </w:tcPr>
          <w:p w14:paraId="3147FE64">
            <w:pPr>
              <w:spacing w:line="500" w:lineRule="exact"/>
              <w:jc w:val="center"/>
              <w:rPr>
                <w:rFonts w:hint="eastAsia" w:ascii="宋体" w:hAnsi="宋体" w:cs="宋体"/>
                <w:b/>
                <w:sz w:val="21"/>
                <w:szCs w:val="21"/>
              </w:rPr>
            </w:pPr>
            <w:r>
              <w:rPr>
                <w:rFonts w:hint="eastAsia" w:ascii="宋体" w:hAnsi="宋体" w:cs="宋体"/>
                <w:b/>
                <w:sz w:val="21"/>
                <w:szCs w:val="21"/>
              </w:rPr>
              <w:t>备注</w:t>
            </w:r>
          </w:p>
        </w:tc>
      </w:tr>
      <w:tr w14:paraId="5F746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D62AD6C">
            <w:pPr>
              <w:spacing w:line="500" w:lineRule="exact"/>
              <w:jc w:val="center"/>
              <w:rPr>
                <w:rFonts w:hint="eastAsia" w:ascii="宋体" w:hAnsi="宋体" w:cs="宋体"/>
                <w:sz w:val="21"/>
                <w:szCs w:val="21"/>
              </w:rPr>
            </w:pPr>
          </w:p>
        </w:tc>
        <w:tc>
          <w:tcPr>
            <w:tcW w:w="1239" w:type="dxa"/>
            <w:vAlign w:val="center"/>
          </w:tcPr>
          <w:p w14:paraId="7DA4091C">
            <w:pPr>
              <w:spacing w:line="500" w:lineRule="exact"/>
              <w:jc w:val="center"/>
              <w:rPr>
                <w:rFonts w:hint="eastAsia" w:ascii="宋体" w:hAnsi="宋体" w:cs="宋体"/>
                <w:sz w:val="21"/>
                <w:szCs w:val="21"/>
              </w:rPr>
            </w:pPr>
          </w:p>
        </w:tc>
        <w:tc>
          <w:tcPr>
            <w:tcW w:w="1260" w:type="dxa"/>
            <w:vAlign w:val="center"/>
          </w:tcPr>
          <w:p w14:paraId="18FE6133">
            <w:pPr>
              <w:spacing w:line="500" w:lineRule="exact"/>
              <w:jc w:val="center"/>
              <w:rPr>
                <w:rFonts w:hint="eastAsia" w:ascii="宋体" w:hAnsi="宋体" w:cs="宋体"/>
                <w:sz w:val="21"/>
                <w:szCs w:val="21"/>
              </w:rPr>
            </w:pPr>
          </w:p>
        </w:tc>
        <w:tc>
          <w:tcPr>
            <w:tcW w:w="1620" w:type="dxa"/>
            <w:vAlign w:val="center"/>
          </w:tcPr>
          <w:p w14:paraId="71E395E6">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42FA977C">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22923E80">
            <w:pPr>
              <w:spacing w:line="500" w:lineRule="exact"/>
              <w:jc w:val="center"/>
              <w:rPr>
                <w:rFonts w:hint="eastAsia" w:ascii="宋体" w:hAnsi="宋体" w:cs="宋体"/>
                <w:sz w:val="21"/>
                <w:szCs w:val="21"/>
              </w:rPr>
            </w:pPr>
          </w:p>
        </w:tc>
      </w:tr>
      <w:tr w14:paraId="50255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10CB47BA">
            <w:pPr>
              <w:spacing w:line="500" w:lineRule="exact"/>
              <w:jc w:val="center"/>
              <w:rPr>
                <w:rFonts w:hint="eastAsia" w:ascii="宋体" w:hAnsi="宋体" w:cs="宋体"/>
                <w:sz w:val="21"/>
                <w:szCs w:val="21"/>
              </w:rPr>
            </w:pPr>
          </w:p>
        </w:tc>
        <w:tc>
          <w:tcPr>
            <w:tcW w:w="1239" w:type="dxa"/>
            <w:vAlign w:val="center"/>
          </w:tcPr>
          <w:p w14:paraId="618B6636">
            <w:pPr>
              <w:spacing w:line="500" w:lineRule="exact"/>
              <w:jc w:val="center"/>
              <w:rPr>
                <w:rFonts w:hint="eastAsia" w:ascii="宋体" w:hAnsi="宋体" w:cs="宋体"/>
                <w:sz w:val="21"/>
                <w:szCs w:val="21"/>
              </w:rPr>
            </w:pPr>
          </w:p>
        </w:tc>
        <w:tc>
          <w:tcPr>
            <w:tcW w:w="1260" w:type="dxa"/>
            <w:vAlign w:val="center"/>
          </w:tcPr>
          <w:p w14:paraId="3BDD15EF">
            <w:pPr>
              <w:spacing w:line="500" w:lineRule="exact"/>
              <w:jc w:val="center"/>
              <w:rPr>
                <w:rFonts w:hint="eastAsia" w:ascii="宋体" w:hAnsi="宋体" w:cs="宋体"/>
                <w:sz w:val="21"/>
                <w:szCs w:val="21"/>
              </w:rPr>
            </w:pPr>
          </w:p>
        </w:tc>
        <w:tc>
          <w:tcPr>
            <w:tcW w:w="1620" w:type="dxa"/>
            <w:vAlign w:val="center"/>
          </w:tcPr>
          <w:p w14:paraId="2B9F5661">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1AC197F0">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0FEE9DB8">
            <w:pPr>
              <w:spacing w:line="500" w:lineRule="exact"/>
              <w:jc w:val="center"/>
              <w:rPr>
                <w:rFonts w:hint="eastAsia" w:ascii="宋体" w:hAnsi="宋体" w:cs="宋体"/>
                <w:sz w:val="21"/>
                <w:szCs w:val="21"/>
              </w:rPr>
            </w:pPr>
          </w:p>
        </w:tc>
      </w:tr>
      <w:tr w14:paraId="4E6A6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2EAC841">
            <w:pPr>
              <w:spacing w:line="500" w:lineRule="exact"/>
              <w:jc w:val="center"/>
              <w:rPr>
                <w:rFonts w:hint="eastAsia" w:ascii="宋体" w:hAnsi="宋体" w:cs="宋体"/>
                <w:sz w:val="21"/>
                <w:szCs w:val="21"/>
              </w:rPr>
            </w:pPr>
          </w:p>
        </w:tc>
        <w:tc>
          <w:tcPr>
            <w:tcW w:w="1239" w:type="dxa"/>
            <w:vAlign w:val="center"/>
          </w:tcPr>
          <w:p w14:paraId="44113902">
            <w:pPr>
              <w:spacing w:line="500" w:lineRule="exact"/>
              <w:jc w:val="center"/>
              <w:rPr>
                <w:rFonts w:hint="eastAsia" w:ascii="宋体" w:hAnsi="宋体" w:cs="宋体"/>
                <w:sz w:val="21"/>
                <w:szCs w:val="21"/>
              </w:rPr>
            </w:pPr>
          </w:p>
        </w:tc>
        <w:tc>
          <w:tcPr>
            <w:tcW w:w="1260" w:type="dxa"/>
            <w:vAlign w:val="center"/>
          </w:tcPr>
          <w:p w14:paraId="63C4E1EF">
            <w:pPr>
              <w:spacing w:line="500" w:lineRule="exact"/>
              <w:jc w:val="center"/>
              <w:rPr>
                <w:rFonts w:hint="eastAsia" w:ascii="宋体" w:hAnsi="宋体" w:cs="宋体"/>
                <w:sz w:val="21"/>
                <w:szCs w:val="21"/>
              </w:rPr>
            </w:pPr>
          </w:p>
        </w:tc>
        <w:tc>
          <w:tcPr>
            <w:tcW w:w="1620" w:type="dxa"/>
            <w:vAlign w:val="center"/>
          </w:tcPr>
          <w:p w14:paraId="131C705C">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450F276E">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71686EAA">
            <w:pPr>
              <w:spacing w:line="500" w:lineRule="exact"/>
              <w:jc w:val="center"/>
              <w:rPr>
                <w:rFonts w:hint="eastAsia" w:ascii="宋体" w:hAnsi="宋体" w:cs="宋体"/>
                <w:sz w:val="21"/>
                <w:szCs w:val="21"/>
              </w:rPr>
            </w:pPr>
          </w:p>
        </w:tc>
      </w:tr>
      <w:tr w14:paraId="7FE482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35BED4A">
            <w:pPr>
              <w:spacing w:line="500" w:lineRule="exact"/>
              <w:jc w:val="center"/>
              <w:rPr>
                <w:rFonts w:hint="eastAsia" w:ascii="宋体" w:hAnsi="宋体" w:cs="宋体"/>
                <w:sz w:val="21"/>
                <w:szCs w:val="21"/>
              </w:rPr>
            </w:pPr>
          </w:p>
        </w:tc>
        <w:tc>
          <w:tcPr>
            <w:tcW w:w="1239" w:type="dxa"/>
            <w:tcBorders>
              <w:right w:val="single" w:color="auto" w:sz="4" w:space="0"/>
            </w:tcBorders>
            <w:vAlign w:val="center"/>
          </w:tcPr>
          <w:p w14:paraId="58AB1689">
            <w:pPr>
              <w:spacing w:line="500" w:lineRule="exact"/>
              <w:jc w:val="center"/>
              <w:rPr>
                <w:rFonts w:hint="eastAsia" w:ascii="宋体" w:hAnsi="宋体" w:cs="宋体"/>
                <w:sz w:val="21"/>
                <w:szCs w:val="21"/>
              </w:rPr>
            </w:pPr>
          </w:p>
        </w:tc>
        <w:tc>
          <w:tcPr>
            <w:tcW w:w="1260" w:type="dxa"/>
            <w:tcBorders>
              <w:left w:val="single" w:color="auto" w:sz="4" w:space="0"/>
            </w:tcBorders>
            <w:vAlign w:val="center"/>
          </w:tcPr>
          <w:p w14:paraId="368C59C4">
            <w:pPr>
              <w:spacing w:line="500" w:lineRule="exact"/>
              <w:jc w:val="center"/>
              <w:rPr>
                <w:rFonts w:hint="eastAsia" w:ascii="宋体" w:hAnsi="宋体" w:cs="宋体"/>
                <w:sz w:val="21"/>
                <w:szCs w:val="21"/>
              </w:rPr>
            </w:pPr>
          </w:p>
        </w:tc>
        <w:tc>
          <w:tcPr>
            <w:tcW w:w="1620" w:type="dxa"/>
            <w:vAlign w:val="center"/>
          </w:tcPr>
          <w:p w14:paraId="415C7F6E">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149186E4">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2DF089D5">
            <w:pPr>
              <w:spacing w:line="500" w:lineRule="exact"/>
              <w:jc w:val="center"/>
              <w:rPr>
                <w:rFonts w:hint="eastAsia" w:ascii="宋体" w:hAnsi="宋体" w:cs="宋体"/>
                <w:sz w:val="21"/>
                <w:szCs w:val="21"/>
              </w:rPr>
            </w:pPr>
          </w:p>
        </w:tc>
      </w:tr>
      <w:tr w14:paraId="647A0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7C66A5B9">
            <w:pPr>
              <w:spacing w:line="500" w:lineRule="exact"/>
              <w:jc w:val="center"/>
              <w:rPr>
                <w:rFonts w:hint="eastAsia" w:ascii="宋体" w:hAnsi="宋体" w:cs="宋体"/>
                <w:sz w:val="21"/>
                <w:szCs w:val="21"/>
              </w:rPr>
            </w:pPr>
          </w:p>
        </w:tc>
        <w:tc>
          <w:tcPr>
            <w:tcW w:w="1239" w:type="dxa"/>
            <w:tcBorders>
              <w:left w:val="single" w:color="auto" w:sz="4" w:space="0"/>
              <w:right w:val="single" w:color="auto" w:sz="4" w:space="0"/>
            </w:tcBorders>
            <w:vAlign w:val="center"/>
          </w:tcPr>
          <w:p w14:paraId="08F09270">
            <w:pPr>
              <w:spacing w:line="500" w:lineRule="exact"/>
              <w:jc w:val="center"/>
              <w:rPr>
                <w:rFonts w:hint="eastAsia" w:ascii="宋体" w:hAnsi="宋体" w:cs="宋体"/>
                <w:sz w:val="21"/>
                <w:szCs w:val="21"/>
              </w:rPr>
            </w:pPr>
          </w:p>
        </w:tc>
        <w:tc>
          <w:tcPr>
            <w:tcW w:w="1260" w:type="dxa"/>
            <w:tcBorders>
              <w:left w:val="single" w:color="auto" w:sz="4" w:space="0"/>
              <w:right w:val="single" w:color="auto" w:sz="4" w:space="0"/>
            </w:tcBorders>
            <w:vAlign w:val="center"/>
          </w:tcPr>
          <w:p w14:paraId="102E7947">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61EF612C">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376FC0A8">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553EC78B">
            <w:pPr>
              <w:spacing w:line="500" w:lineRule="exact"/>
              <w:jc w:val="center"/>
              <w:rPr>
                <w:rFonts w:hint="eastAsia" w:ascii="宋体" w:hAnsi="宋体" w:cs="宋体"/>
                <w:sz w:val="21"/>
                <w:szCs w:val="21"/>
              </w:rPr>
            </w:pPr>
          </w:p>
        </w:tc>
      </w:tr>
      <w:tr w14:paraId="021D1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8CC0DFB">
            <w:pPr>
              <w:spacing w:line="500" w:lineRule="exact"/>
              <w:jc w:val="center"/>
              <w:rPr>
                <w:rFonts w:hint="eastAsia" w:ascii="宋体" w:hAnsi="宋体" w:cs="宋体"/>
                <w:sz w:val="21"/>
                <w:szCs w:val="21"/>
              </w:rPr>
            </w:pPr>
          </w:p>
        </w:tc>
        <w:tc>
          <w:tcPr>
            <w:tcW w:w="1239" w:type="dxa"/>
            <w:vAlign w:val="center"/>
          </w:tcPr>
          <w:p w14:paraId="074127C9">
            <w:pPr>
              <w:spacing w:line="500" w:lineRule="exact"/>
              <w:jc w:val="center"/>
              <w:rPr>
                <w:rFonts w:hint="eastAsia" w:ascii="宋体" w:hAnsi="宋体" w:cs="宋体"/>
                <w:sz w:val="21"/>
                <w:szCs w:val="21"/>
              </w:rPr>
            </w:pPr>
          </w:p>
        </w:tc>
        <w:tc>
          <w:tcPr>
            <w:tcW w:w="1260" w:type="dxa"/>
            <w:vAlign w:val="center"/>
          </w:tcPr>
          <w:p w14:paraId="699FF613">
            <w:pPr>
              <w:spacing w:line="500" w:lineRule="exact"/>
              <w:jc w:val="center"/>
              <w:rPr>
                <w:rFonts w:hint="eastAsia" w:ascii="宋体" w:hAnsi="宋体" w:cs="宋体"/>
                <w:sz w:val="21"/>
                <w:szCs w:val="21"/>
              </w:rPr>
            </w:pPr>
          </w:p>
        </w:tc>
        <w:tc>
          <w:tcPr>
            <w:tcW w:w="1620" w:type="dxa"/>
            <w:vAlign w:val="center"/>
          </w:tcPr>
          <w:p w14:paraId="38B02F9D">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5A1F6569">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01826303">
            <w:pPr>
              <w:spacing w:line="500" w:lineRule="exact"/>
              <w:jc w:val="center"/>
              <w:rPr>
                <w:rFonts w:hint="eastAsia" w:ascii="宋体" w:hAnsi="宋体" w:cs="宋体"/>
                <w:sz w:val="21"/>
                <w:szCs w:val="21"/>
              </w:rPr>
            </w:pPr>
          </w:p>
        </w:tc>
      </w:tr>
      <w:tr w14:paraId="27874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06907D8">
            <w:pPr>
              <w:spacing w:line="500" w:lineRule="exact"/>
              <w:jc w:val="center"/>
              <w:rPr>
                <w:rFonts w:hint="eastAsia" w:ascii="宋体" w:hAnsi="宋体" w:cs="宋体"/>
                <w:sz w:val="21"/>
                <w:szCs w:val="21"/>
              </w:rPr>
            </w:pPr>
          </w:p>
        </w:tc>
        <w:tc>
          <w:tcPr>
            <w:tcW w:w="1239" w:type="dxa"/>
            <w:vAlign w:val="center"/>
          </w:tcPr>
          <w:p w14:paraId="485EB5DB">
            <w:pPr>
              <w:spacing w:line="500" w:lineRule="exact"/>
              <w:jc w:val="center"/>
              <w:rPr>
                <w:rFonts w:hint="eastAsia" w:ascii="宋体" w:hAnsi="宋体" w:cs="宋体"/>
                <w:sz w:val="21"/>
                <w:szCs w:val="21"/>
              </w:rPr>
            </w:pPr>
          </w:p>
        </w:tc>
        <w:tc>
          <w:tcPr>
            <w:tcW w:w="1260" w:type="dxa"/>
            <w:vAlign w:val="center"/>
          </w:tcPr>
          <w:p w14:paraId="74736F94">
            <w:pPr>
              <w:spacing w:line="500" w:lineRule="exact"/>
              <w:jc w:val="center"/>
              <w:rPr>
                <w:rFonts w:hint="eastAsia" w:ascii="宋体" w:hAnsi="宋体" w:cs="宋体"/>
                <w:sz w:val="21"/>
                <w:szCs w:val="21"/>
              </w:rPr>
            </w:pPr>
          </w:p>
        </w:tc>
        <w:tc>
          <w:tcPr>
            <w:tcW w:w="1620" w:type="dxa"/>
            <w:vAlign w:val="center"/>
          </w:tcPr>
          <w:p w14:paraId="0B8C8132">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28451B87">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7E3DE501">
            <w:pPr>
              <w:spacing w:line="500" w:lineRule="exact"/>
              <w:jc w:val="center"/>
              <w:rPr>
                <w:rFonts w:hint="eastAsia" w:ascii="宋体" w:hAnsi="宋体" w:cs="宋体"/>
                <w:sz w:val="21"/>
                <w:szCs w:val="21"/>
              </w:rPr>
            </w:pPr>
          </w:p>
        </w:tc>
      </w:tr>
      <w:tr w14:paraId="0B55FC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B6887C2">
            <w:pPr>
              <w:spacing w:line="500" w:lineRule="exact"/>
              <w:jc w:val="center"/>
              <w:rPr>
                <w:rFonts w:hint="eastAsia" w:ascii="宋体" w:hAnsi="宋体" w:cs="宋体"/>
                <w:sz w:val="21"/>
                <w:szCs w:val="21"/>
              </w:rPr>
            </w:pPr>
          </w:p>
        </w:tc>
        <w:tc>
          <w:tcPr>
            <w:tcW w:w="1239" w:type="dxa"/>
            <w:vAlign w:val="center"/>
          </w:tcPr>
          <w:p w14:paraId="442CD1ED">
            <w:pPr>
              <w:spacing w:line="500" w:lineRule="exact"/>
              <w:jc w:val="center"/>
              <w:rPr>
                <w:rFonts w:hint="eastAsia" w:ascii="宋体" w:hAnsi="宋体" w:cs="宋体"/>
                <w:sz w:val="21"/>
                <w:szCs w:val="21"/>
              </w:rPr>
            </w:pPr>
          </w:p>
        </w:tc>
        <w:tc>
          <w:tcPr>
            <w:tcW w:w="1260" w:type="dxa"/>
            <w:vAlign w:val="center"/>
          </w:tcPr>
          <w:p w14:paraId="067E50A3">
            <w:pPr>
              <w:spacing w:line="500" w:lineRule="exact"/>
              <w:jc w:val="center"/>
              <w:rPr>
                <w:rFonts w:hint="eastAsia" w:ascii="宋体" w:hAnsi="宋体" w:cs="宋体"/>
                <w:sz w:val="21"/>
                <w:szCs w:val="21"/>
              </w:rPr>
            </w:pPr>
          </w:p>
        </w:tc>
        <w:tc>
          <w:tcPr>
            <w:tcW w:w="1620" w:type="dxa"/>
            <w:vAlign w:val="center"/>
          </w:tcPr>
          <w:p w14:paraId="36E82108">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02480301">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1FA801B3">
            <w:pPr>
              <w:spacing w:line="500" w:lineRule="exact"/>
              <w:jc w:val="center"/>
              <w:rPr>
                <w:rFonts w:hint="eastAsia" w:ascii="宋体" w:hAnsi="宋体" w:cs="宋体"/>
                <w:sz w:val="21"/>
                <w:szCs w:val="21"/>
              </w:rPr>
            </w:pPr>
          </w:p>
        </w:tc>
      </w:tr>
      <w:tr w14:paraId="51260B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7CCB8915">
            <w:pPr>
              <w:spacing w:line="500" w:lineRule="exact"/>
              <w:jc w:val="center"/>
              <w:rPr>
                <w:rFonts w:hint="eastAsia" w:ascii="宋体" w:hAnsi="宋体" w:cs="宋体"/>
                <w:sz w:val="21"/>
                <w:szCs w:val="21"/>
              </w:rPr>
            </w:pPr>
          </w:p>
        </w:tc>
        <w:tc>
          <w:tcPr>
            <w:tcW w:w="1239" w:type="dxa"/>
            <w:tcBorders>
              <w:bottom w:val="single" w:color="auto" w:sz="4" w:space="0"/>
            </w:tcBorders>
            <w:vAlign w:val="center"/>
          </w:tcPr>
          <w:p w14:paraId="2756DDB8">
            <w:pPr>
              <w:spacing w:line="500" w:lineRule="exact"/>
              <w:jc w:val="center"/>
              <w:rPr>
                <w:rFonts w:hint="eastAsia" w:ascii="宋体" w:hAnsi="宋体" w:cs="宋体"/>
                <w:sz w:val="21"/>
                <w:szCs w:val="21"/>
              </w:rPr>
            </w:pPr>
          </w:p>
        </w:tc>
        <w:tc>
          <w:tcPr>
            <w:tcW w:w="1260" w:type="dxa"/>
            <w:tcBorders>
              <w:bottom w:val="single" w:color="auto" w:sz="4" w:space="0"/>
            </w:tcBorders>
            <w:vAlign w:val="center"/>
          </w:tcPr>
          <w:p w14:paraId="4A84B5AF">
            <w:pPr>
              <w:spacing w:line="500" w:lineRule="exact"/>
              <w:jc w:val="center"/>
              <w:rPr>
                <w:rFonts w:hint="eastAsia" w:ascii="宋体" w:hAnsi="宋体" w:cs="宋体"/>
                <w:sz w:val="21"/>
                <w:szCs w:val="21"/>
              </w:rPr>
            </w:pPr>
          </w:p>
        </w:tc>
        <w:tc>
          <w:tcPr>
            <w:tcW w:w="1620" w:type="dxa"/>
            <w:tcBorders>
              <w:bottom w:val="single" w:color="auto" w:sz="4" w:space="0"/>
            </w:tcBorders>
            <w:vAlign w:val="center"/>
          </w:tcPr>
          <w:p w14:paraId="603ACC3F">
            <w:pPr>
              <w:spacing w:line="500" w:lineRule="exact"/>
              <w:jc w:val="center"/>
              <w:rPr>
                <w:rFonts w:hint="eastAsia" w:ascii="宋体" w:hAnsi="宋体" w:cs="宋体"/>
                <w:sz w:val="21"/>
                <w:szCs w:val="21"/>
              </w:rPr>
            </w:pPr>
          </w:p>
        </w:tc>
        <w:tc>
          <w:tcPr>
            <w:tcW w:w="1620" w:type="dxa"/>
            <w:tcBorders>
              <w:left w:val="single" w:color="auto" w:sz="4" w:space="0"/>
              <w:bottom w:val="single" w:color="auto" w:sz="4" w:space="0"/>
              <w:right w:val="single" w:color="auto" w:sz="4" w:space="0"/>
            </w:tcBorders>
            <w:vAlign w:val="center"/>
          </w:tcPr>
          <w:p w14:paraId="4ABA6647">
            <w:pPr>
              <w:spacing w:line="500" w:lineRule="exact"/>
              <w:jc w:val="center"/>
              <w:rPr>
                <w:rFonts w:hint="eastAsia" w:ascii="宋体" w:hAnsi="宋体" w:cs="宋体"/>
                <w:sz w:val="21"/>
                <w:szCs w:val="21"/>
              </w:rPr>
            </w:pPr>
          </w:p>
        </w:tc>
        <w:tc>
          <w:tcPr>
            <w:tcW w:w="1341" w:type="dxa"/>
            <w:tcBorders>
              <w:left w:val="single" w:color="auto" w:sz="4" w:space="0"/>
              <w:bottom w:val="single" w:color="auto" w:sz="4" w:space="0"/>
            </w:tcBorders>
            <w:vAlign w:val="center"/>
          </w:tcPr>
          <w:p w14:paraId="6BF28004">
            <w:pPr>
              <w:spacing w:line="500" w:lineRule="exact"/>
              <w:jc w:val="center"/>
              <w:rPr>
                <w:rFonts w:hint="eastAsia" w:ascii="宋体" w:hAnsi="宋体" w:cs="宋体"/>
                <w:sz w:val="21"/>
                <w:szCs w:val="21"/>
              </w:rPr>
            </w:pPr>
          </w:p>
        </w:tc>
      </w:tr>
      <w:tr w14:paraId="5B8CE2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3B96AC18">
            <w:pPr>
              <w:spacing w:line="500" w:lineRule="exact"/>
              <w:jc w:val="center"/>
              <w:rPr>
                <w:rFonts w:hint="eastAsia" w:ascii="宋体" w:hAnsi="宋体" w:cs="宋体"/>
                <w:sz w:val="21"/>
                <w:szCs w:val="21"/>
              </w:rPr>
            </w:pPr>
          </w:p>
        </w:tc>
        <w:tc>
          <w:tcPr>
            <w:tcW w:w="1239" w:type="dxa"/>
            <w:tcBorders>
              <w:top w:val="single" w:color="auto" w:sz="4" w:space="0"/>
              <w:bottom w:val="single" w:color="auto" w:sz="4" w:space="0"/>
            </w:tcBorders>
            <w:vAlign w:val="center"/>
          </w:tcPr>
          <w:p w14:paraId="1E54D635">
            <w:pPr>
              <w:spacing w:line="500" w:lineRule="exact"/>
              <w:jc w:val="center"/>
              <w:rPr>
                <w:rFonts w:hint="eastAsia" w:ascii="宋体" w:hAnsi="宋体" w:cs="宋体"/>
                <w:sz w:val="21"/>
                <w:szCs w:val="21"/>
              </w:rPr>
            </w:pPr>
          </w:p>
        </w:tc>
        <w:tc>
          <w:tcPr>
            <w:tcW w:w="1260" w:type="dxa"/>
            <w:tcBorders>
              <w:top w:val="single" w:color="auto" w:sz="4" w:space="0"/>
              <w:bottom w:val="single" w:color="auto" w:sz="4" w:space="0"/>
            </w:tcBorders>
            <w:vAlign w:val="center"/>
          </w:tcPr>
          <w:p w14:paraId="37AA7FA7">
            <w:pPr>
              <w:spacing w:line="500" w:lineRule="exact"/>
              <w:jc w:val="center"/>
              <w:rPr>
                <w:rFonts w:hint="eastAsia" w:ascii="宋体" w:hAnsi="宋体" w:cs="宋体"/>
                <w:sz w:val="21"/>
                <w:szCs w:val="21"/>
              </w:rPr>
            </w:pPr>
          </w:p>
        </w:tc>
        <w:tc>
          <w:tcPr>
            <w:tcW w:w="1620" w:type="dxa"/>
            <w:tcBorders>
              <w:top w:val="single" w:color="auto" w:sz="4" w:space="0"/>
              <w:bottom w:val="single" w:color="auto" w:sz="4" w:space="0"/>
            </w:tcBorders>
            <w:vAlign w:val="center"/>
          </w:tcPr>
          <w:p w14:paraId="22EFFFB0">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6C30CA7E">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26D52F86">
            <w:pPr>
              <w:spacing w:line="500" w:lineRule="exact"/>
              <w:jc w:val="center"/>
              <w:rPr>
                <w:rFonts w:hint="eastAsia" w:ascii="宋体" w:hAnsi="宋体" w:cs="宋体"/>
                <w:sz w:val="21"/>
                <w:szCs w:val="21"/>
              </w:rPr>
            </w:pPr>
          </w:p>
        </w:tc>
      </w:tr>
      <w:tr w14:paraId="4E837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46EB51C1">
            <w:pPr>
              <w:spacing w:line="500" w:lineRule="exact"/>
              <w:jc w:val="center"/>
              <w:rPr>
                <w:rFonts w:hint="eastAsia" w:ascii="宋体" w:hAnsi="宋体" w:cs="宋体"/>
                <w:sz w:val="21"/>
                <w:szCs w:val="21"/>
              </w:rPr>
            </w:pPr>
          </w:p>
        </w:tc>
        <w:tc>
          <w:tcPr>
            <w:tcW w:w="1239" w:type="dxa"/>
            <w:tcBorders>
              <w:top w:val="single" w:color="auto" w:sz="4" w:space="0"/>
              <w:bottom w:val="single" w:color="auto" w:sz="4" w:space="0"/>
            </w:tcBorders>
            <w:vAlign w:val="center"/>
          </w:tcPr>
          <w:p w14:paraId="4CAC2BE9">
            <w:pPr>
              <w:spacing w:line="500" w:lineRule="exact"/>
              <w:jc w:val="center"/>
              <w:rPr>
                <w:rFonts w:hint="eastAsia" w:ascii="宋体" w:hAnsi="宋体" w:cs="宋体"/>
                <w:sz w:val="21"/>
                <w:szCs w:val="21"/>
              </w:rPr>
            </w:pPr>
          </w:p>
        </w:tc>
        <w:tc>
          <w:tcPr>
            <w:tcW w:w="1260" w:type="dxa"/>
            <w:tcBorders>
              <w:top w:val="single" w:color="auto" w:sz="4" w:space="0"/>
              <w:bottom w:val="single" w:color="auto" w:sz="4" w:space="0"/>
            </w:tcBorders>
            <w:vAlign w:val="center"/>
          </w:tcPr>
          <w:p w14:paraId="041D5879">
            <w:pPr>
              <w:spacing w:line="500" w:lineRule="exact"/>
              <w:jc w:val="center"/>
              <w:rPr>
                <w:rFonts w:hint="eastAsia" w:ascii="宋体" w:hAnsi="宋体" w:cs="宋体"/>
                <w:sz w:val="21"/>
                <w:szCs w:val="21"/>
              </w:rPr>
            </w:pPr>
          </w:p>
        </w:tc>
        <w:tc>
          <w:tcPr>
            <w:tcW w:w="1620" w:type="dxa"/>
            <w:tcBorders>
              <w:top w:val="single" w:color="auto" w:sz="4" w:space="0"/>
              <w:bottom w:val="single" w:color="auto" w:sz="4" w:space="0"/>
            </w:tcBorders>
            <w:vAlign w:val="center"/>
          </w:tcPr>
          <w:p w14:paraId="74D7D0BA">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66F674F">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4ADAFF5D">
            <w:pPr>
              <w:spacing w:line="500" w:lineRule="exact"/>
              <w:jc w:val="center"/>
              <w:rPr>
                <w:rFonts w:hint="eastAsia" w:ascii="宋体" w:hAnsi="宋体" w:cs="宋体"/>
                <w:sz w:val="21"/>
                <w:szCs w:val="21"/>
              </w:rPr>
            </w:pPr>
          </w:p>
        </w:tc>
      </w:tr>
      <w:tr w14:paraId="619EE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25BC8757">
            <w:pPr>
              <w:spacing w:line="500" w:lineRule="exact"/>
              <w:jc w:val="center"/>
              <w:rPr>
                <w:rFonts w:hint="eastAsia" w:ascii="宋体" w:hAnsi="宋体" w:cs="宋体"/>
                <w:sz w:val="21"/>
                <w:szCs w:val="21"/>
              </w:rPr>
            </w:pPr>
          </w:p>
        </w:tc>
        <w:tc>
          <w:tcPr>
            <w:tcW w:w="1239" w:type="dxa"/>
            <w:tcBorders>
              <w:top w:val="single" w:color="auto" w:sz="4" w:space="0"/>
              <w:bottom w:val="single" w:color="auto" w:sz="4" w:space="0"/>
            </w:tcBorders>
            <w:vAlign w:val="center"/>
          </w:tcPr>
          <w:p w14:paraId="4CA0C90E">
            <w:pPr>
              <w:spacing w:line="500" w:lineRule="exact"/>
              <w:jc w:val="center"/>
              <w:rPr>
                <w:rFonts w:hint="eastAsia" w:ascii="宋体" w:hAnsi="宋体" w:cs="宋体"/>
                <w:sz w:val="21"/>
                <w:szCs w:val="21"/>
              </w:rPr>
            </w:pPr>
          </w:p>
        </w:tc>
        <w:tc>
          <w:tcPr>
            <w:tcW w:w="1260" w:type="dxa"/>
            <w:tcBorders>
              <w:top w:val="single" w:color="auto" w:sz="4" w:space="0"/>
              <w:bottom w:val="single" w:color="auto" w:sz="4" w:space="0"/>
            </w:tcBorders>
            <w:vAlign w:val="center"/>
          </w:tcPr>
          <w:p w14:paraId="4F4DFD9E">
            <w:pPr>
              <w:spacing w:line="500" w:lineRule="exact"/>
              <w:jc w:val="center"/>
              <w:rPr>
                <w:rFonts w:hint="eastAsia" w:ascii="宋体" w:hAnsi="宋体" w:cs="宋体"/>
                <w:sz w:val="21"/>
                <w:szCs w:val="21"/>
              </w:rPr>
            </w:pPr>
          </w:p>
        </w:tc>
        <w:tc>
          <w:tcPr>
            <w:tcW w:w="1620" w:type="dxa"/>
            <w:tcBorders>
              <w:top w:val="single" w:color="auto" w:sz="4" w:space="0"/>
              <w:bottom w:val="single" w:color="auto" w:sz="4" w:space="0"/>
            </w:tcBorders>
            <w:vAlign w:val="center"/>
          </w:tcPr>
          <w:p w14:paraId="7E0786F0">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1D09EA6">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3B630AB7">
            <w:pPr>
              <w:spacing w:line="500" w:lineRule="exact"/>
              <w:jc w:val="center"/>
              <w:rPr>
                <w:rFonts w:hint="eastAsia" w:ascii="宋体" w:hAnsi="宋体" w:cs="宋体"/>
                <w:sz w:val="21"/>
                <w:szCs w:val="21"/>
              </w:rPr>
            </w:pPr>
          </w:p>
        </w:tc>
      </w:tr>
      <w:tr w14:paraId="747DA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2754E533">
            <w:pPr>
              <w:spacing w:line="500" w:lineRule="exact"/>
              <w:jc w:val="center"/>
              <w:rPr>
                <w:rFonts w:hint="eastAsia" w:ascii="宋体" w:hAnsi="宋体" w:cs="宋体"/>
                <w:sz w:val="21"/>
                <w:szCs w:val="21"/>
              </w:rPr>
            </w:pPr>
          </w:p>
        </w:tc>
        <w:tc>
          <w:tcPr>
            <w:tcW w:w="1239" w:type="dxa"/>
            <w:tcBorders>
              <w:top w:val="single" w:color="auto" w:sz="4" w:space="0"/>
            </w:tcBorders>
            <w:vAlign w:val="center"/>
          </w:tcPr>
          <w:p w14:paraId="7EE9A2A0">
            <w:pPr>
              <w:spacing w:line="500" w:lineRule="exact"/>
              <w:jc w:val="center"/>
              <w:rPr>
                <w:rFonts w:hint="eastAsia" w:ascii="宋体" w:hAnsi="宋体" w:cs="宋体"/>
                <w:sz w:val="21"/>
                <w:szCs w:val="21"/>
              </w:rPr>
            </w:pPr>
          </w:p>
        </w:tc>
        <w:tc>
          <w:tcPr>
            <w:tcW w:w="1260" w:type="dxa"/>
            <w:tcBorders>
              <w:top w:val="single" w:color="auto" w:sz="4" w:space="0"/>
            </w:tcBorders>
            <w:vAlign w:val="center"/>
          </w:tcPr>
          <w:p w14:paraId="6410D0CE">
            <w:pPr>
              <w:spacing w:line="500" w:lineRule="exact"/>
              <w:jc w:val="center"/>
              <w:rPr>
                <w:rFonts w:hint="eastAsia" w:ascii="宋体" w:hAnsi="宋体" w:cs="宋体"/>
                <w:sz w:val="21"/>
                <w:szCs w:val="21"/>
              </w:rPr>
            </w:pPr>
          </w:p>
        </w:tc>
        <w:tc>
          <w:tcPr>
            <w:tcW w:w="1620" w:type="dxa"/>
            <w:tcBorders>
              <w:top w:val="single" w:color="auto" w:sz="4" w:space="0"/>
            </w:tcBorders>
            <w:vAlign w:val="center"/>
          </w:tcPr>
          <w:p w14:paraId="74275243">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right w:val="single" w:color="auto" w:sz="4" w:space="0"/>
            </w:tcBorders>
            <w:vAlign w:val="center"/>
          </w:tcPr>
          <w:p w14:paraId="238BD5F8">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tcBorders>
            <w:vAlign w:val="center"/>
          </w:tcPr>
          <w:p w14:paraId="469C47DC">
            <w:pPr>
              <w:spacing w:line="500" w:lineRule="exact"/>
              <w:jc w:val="center"/>
              <w:rPr>
                <w:rFonts w:hint="eastAsia" w:ascii="宋体" w:hAnsi="宋体" w:cs="宋体"/>
                <w:sz w:val="21"/>
                <w:szCs w:val="21"/>
              </w:rPr>
            </w:pPr>
          </w:p>
        </w:tc>
      </w:tr>
    </w:tbl>
    <w:p w14:paraId="13BCC1F4">
      <w:pPr>
        <w:spacing w:line="400" w:lineRule="exact"/>
        <w:rPr>
          <w:rFonts w:hint="eastAsia" w:ascii="仿宋" w:hAnsi="仿宋" w:eastAsia="仿宋" w:cs="仿宋"/>
          <w:sz w:val="28"/>
          <w:szCs w:val="28"/>
        </w:rPr>
      </w:pPr>
      <w:r>
        <w:rPr>
          <w:rFonts w:hint="eastAsia" w:ascii="仿宋" w:hAnsi="仿宋" w:eastAsia="仿宋" w:cs="仿宋"/>
          <w:b/>
          <w:sz w:val="28"/>
          <w:szCs w:val="28"/>
        </w:rPr>
        <w:t>注：</w:t>
      </w:r>
      <w:r>
        <w:rPr>
          <w:rFonts w:hint="eastAsia" w:ascii="仿宋" w:hAnsi="仿宋" w:eastAsia="仿宋" w:cs="仿宋"/>
          <w:sz w:val="28"/>
          <w:szCs w:val="28"/>
        </w:rPr>
        <w:t>投标人以上业绩需提供有关书面证明材料。</w:t>
      </w:r>
    </w:p>
    <w:p w14:paraId="4B695DAB">
      <w:pPr>
        <w:spacing w:line="400" w:lineRule="exact"/>
        <w:ind w:firstLine="210" w:firstLineChars="75"/>
        <w:rPr>
          <w:rFonts w:hint="eastAsia" w:ascii="仿宋" w:hAnsi="仿宋" w:eastAsia="仿宋" w:cs="仿宋"/>
          <w:sz w:val="28"/>
          <w:szCs w:val="28"/>
        </w:rPr>
      </w:pPr>
    </w:p>
    <w:p w14:paraId="243B5385">
      <w:pPr>
        <w:spacing w:line="400" w:lineRule="exact"/>
        <w:ind w:firstLine="210" w:firstLineChars="75"/>
        <w:rPr>
          <w:rFonts w:hint="eastAsia" w:ascii="仿宋" w:hAnsi="仿宋" w:eastAsia="仿宋" w:cs="仿宋"/>
          <w:sz w:val="28"/>
          <w:szCs w:val="28"/>
        </w:rPr>
      </w:pPr>
    </w:p>
    <w:p w14:paraId="12FFEC76">
      <w:pPr>
        <w:spacing w:line="360" w:lineRule="exact"/>
        <w:rPr>
          <w:rFonts w:hint="eastAsia" w:ascii="仿宋" w:hAnsi="仿宋" w:eastAsia="仿宋" w:cs="仿宋"/>
          <w:sz w:val="28"/>
          <w:szCs w:val="28"/>
        </w:rPr>
      </w:pPr>
      <w:r>
        <w:rPr>
          <w:rFonts w:hint="eastAsia" w:ascii="仿宋" w:hAnsi="仿宋" w:eastAsia="仿宋" w:cs="仿宋"/>
          <w:sz w:val="28"/>
          <w:szCs w:val="28"/>
        </w:rPr>
        <w:t>投标人名称：         （盖章）</w:t>
      </w:r>
    </w:p>
    <w:p w14:paraId="7F1F27DB">
      <w:pPr>
        <w:spacing w:line="500" w:lineRule="exact"/>
        <w:rPr>
          <w:rFonts w:hint="eastAsia"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bCs/>
          <w:sz w:val="28"/>
          <w:szCs w:val="28"/>
        </w:rPr>
        <w:t>：</w:t>
      </w:r>
    </w:p>
    <w:p w14:paraId="2B1CCBA2">
      <w:pPr>
        <w:spacing w:line="500" w:lineRule="exact"/>
        <w:rPr>
          <w:rFonts w:hint="eastAsia" w:asciiTheme="minorEastAsia" w:hAnsiTheme="minorEastAsia" w:eastAsiaTheme="minorEastAsia"/>
          <w:b/>
          <w:sz w:val="28"/>
          <w:szCs w:val="28"/>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Cs/>
          <w:sz w:val="28"/>
          <w:szCs w:val="28"/>
        </w:rPr>
        <w:t>投标日期:</w:t>
      </w:r>
    </w:p>
    <w:p w14:paraId="2F40E028">
      <w:pPr>
        <w:rPr>
          <w:rFonts w:hint="eastAsia" w:asciiTheme="minorEastAsia" w:hAnsiTheme="minorEastAsia" w:eastAsiaTheme="minorEastAsia"/>
          <w:sz w:val="18"/>
          <w:szCs w:val="18"/>
        </w:rPr>
      </w:pPr>
    </w:p>
    <w:p w14:paraId="66E43CF0">
      <w:pPr>
        <w:snapToGrid w:val="0"/>
        <w:spacing w:line="500" w:lineRule="exact"/>
        <w:ind w:firstLine="275" w:firstLineChars="98"/>
        <w:rPr>
          <w:rFonts w:hint="eastAsia" w:ascii="仿宋" w:hAnsi="仿宋" w:eastAsia="仿宋" w:cs="仿宋"/>
          <w:b/>
          <w:sz w:val="28"/>
          <w:szCs w:val="28"/>
        </w:rPr>
      </w:pPr>
      <w:r>
        <w:rPr>
          <w:rFonts w:hint="eastAsia" w:ascii="仿宋" w:hAnsi="仿宋" w:eastAsia="仿宋" w:cs="仿宋"/>
          <w:b/>
          <w:sz w:val="28"/>
          <w:szCs w:val="28"/>
        </w:rPr>
        <w:t>八、近三年</w:t>
      </w:r>
      <w:r>
        <w:rPr>
          <w:rFonts w:hint="eastAsia" w:ascii="仿宋" w:hAnsi="仿宋" w:eastAsia="仿宋" w:cs="仿宋"/>
          <w:b/>
          <w:sz w:val="28"/>
          <w:szCs w:val="28"/>
          <w:lang w:eastAsia="zh-CN"/>
        </w:rPr>
        <w:t>年度</w:t>
      </w:r>
      <w:r>
        <w:rPr>
          <w:rFonts w:hint="eastAsia" w:ascii="仿宋" w:hAnsi="仿宋" w:eastAsia="仿宋" w:cs="仿宋"/>
          <w:b/>
          <w:sz w:val="28"/>
          <w:szCs w:val="28"/>
        </w:rPr>
        <w:t>财务报表</w:t>
      </w:r>
      <w:r>
        <w:rPr>
          <w:rFonts w:ascii="Times New Roman" w:hAnsi="Times New Roman" w:eastAsia="方正仿宋_GBK" w:cs="Times New Roman"/>
          <w:sz w:val="32"/>
          <w:szCs w:val="32"/>
        </w:rPr>
        <w:t>（包括资产负债表、利润表和现金流量表）</w:t>
      </w:r>
    </w:p>
    <w:p w14:paraId="5D02BE4B">
      <w:pPr>
        <w:widowControl/>
        <w:rPr>
          <w:rFonts w:hint="eastAsia" w:ascii="仿宋" w:hAnsi="仿宋" w:eastAsia="仿宋" w:cs="仿宋"/>
          <w:b/>
          <w:bCs/>
          <w:kern w:val="0"/>
          <w:sz w:val="28"/>
          <w:szCs w:val="28"/>
        </w:rPr>
      </w:pPr>
    </w:p>
    <w:p w14:paraId="1DE640AD">
      <w:pPr>
        <w:snapToGrid w:val="0"/>
        <w:spacing w:line="520" w:lineRule="exact"/>
        <w:ind w:left="481" w:leftChars="86" w:hanging="275" w:hangingChars="98"/>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（根据招标要求由投标人自行编写） </w:t>
      </w:r>
    </w:p>
    <w:p w14:paraId="595A4C7E">
      <w:pPr>
        <w:rPr>
          <w:rFonts w:hint="eastAsia" w:ascii="仿宋" w:hAnsi="仿宋" w:eastAsia="仿宋" w:cs="仿宋"/>
          <w:b/>
          <w:bCs/>
          <w:kern w:val="0"/>
          <w:sz w:val="28"/>
          <w:szCs w:val="28"/>
        </w:rPr>
      </w:pPr>
      <w:r>
        <w:rPr>
          <w:rFonts w:hint="eastAsia" w:ascii="仿宋" w:hAnsi="仿宋" w:eastAsia="仿宋" w:cs="仿宋"/>
          <w:b/>
          <w:bCs/>
          <w:kern w:val="0"/>
          <w:sz w:val="28"/>
          <w:szCs w:val="28"/>
        </w:rPr>
        <w:br w:type="page"/>
      </w:r>
    </w:p>
    <w:p w14:paraId="2E2CEFAC">
      <w:pPr>
        <w:snapToGrid w:val="0"/>
        <w:spacing w:line="500" w:lineRule="exact"/>
        <w:ind w:firstLine="275" w:firstLineChars="98"/>
        <w:rPr>
          <w:rFonts w:hint="eastAsia" w:ascii="仿宋" w:hAnsi="仿宋" w:eastAsia="仿宋" w:cs="仿宋"/>
          <w:b/>
          <w:sz w:val="28"/>
          <w:szCs w:val="28"/>
        </w:rPr>
      </w:pPr>
      <w:r>
        <w:rPr>
          <w:rFonts w:hint="eastAsia" w:ascii="仿宋" w:hAnsi="仿宋" w:eastAsia="仿宋" w:cs="仿宋"/>
          <w:b/>
          <w:sz w:val="28"/>
          <w:szCs w:val="28"/>
        </w:rPr>
        <w:t>九、近三年的</w:t>
      </w:r>
      <w:r>
        <w:rPr>
          <w:rFonts w:hint="eastAsia" w:ascii="仿宋" w:hAnsi="仿宋" w:eastAsia="仿宋" w:cs="仿宋"/>
          <w:b/>
          <w:sz w:val="28"/>
          <w:szCs w:val="28"/>
          <w:lang w:eastAsia="zh-CN"/>
        </w:rPr>
        <w:t>年度</w:t>
      </w:r>
      <w:r>
        <w:rPr>
          <w:rFonts w:hint="eastAsia" w:ascii="仿宋" w:hAnsi="仿宋" w:eastAsia="仿宋" w:cs="仿宋"/>
          <w:b/>
          <w:sz w:val="28"/>
          <w:szCs w:val="28"/>
        </w:rPr>
        <w:t>纳税及员工社保缴纳证明</w:t>
      </w:r>
    </w:p>
    <w:p w14:paraId="6EAB7B32">
      <w:pPr>
        <w:snapToGrid w:val="0"/>
        <w:spacing w:line="520" w:lineRule="exact"/>
        <w:ind w:left="382" w:leftChars="86" w:hanging="176" w:hangingChars="98"/>
        <w:rPr>
          <w:rFonts w:hint="eastAsia" w:asciiTheme="minorEastAsia" w:hAnsiTheme="minorEastAsia" w:eastAsiaTheme="minorEastAsia"/>
          <w:sz w:val="18"/>
          <w:szCs w:val="18"/>
        </w:rPr>
      </w:pPr>
    </w:p>
    <w:p w14:paraId="297A54B3">
      <w:pPr>
        <w:snapToGrid w:val="0"/>
        <w:spacing w:line="520" w:lineRule="exact"/>
        <w:ind w:left="382" w:leftChars="86" w:hanging="176" w:hangingChars="98"/>
        <w:rPr>
          <w:rFonts w:hint="eastAsia" w:asciiTheme="minorEastAsia" w:hAnsiTheme="minorEastAsia" w:eastAsiaTheme="minorEastAsia"/>
          <w:sz w:val="18"/>
          <w:szCs w:val="18"/>
        </w:rPr>
      </w:pPr>
    </w:p>
    <w:p w14:paraId="5ACFF6A9">
      <w:pPr>
        <w:snapToGrid w:val="0"/>
        <w:spacing w:line="520" w:lineRule="exact"/>
        <w:ind w:left="382" w:leftChars="86" w:hanging="176" w:hangingChars="98"/>
        <w:rPr>
          <w:rFonts w:hint="eastAsia" w:asciiTheme="minorEastAsia" w:hAnsiTheme="minorEastAsia" w:eastAsiaTheme="minorEastAsia"/>
          <w:sz w:val="18"/>
          <w:szCs w:val="18"/>
        </w:rPr>
      </w:pPr>
    </w:p>
    <w:p w14:paraId="2B02812E">
      <w:pPr>
        <w:snapToGrid w:val="0"/>
        <w:spacing w:line="520" w:lineRule="exact"/>
        <w:ind w:left="382" w:leftChars="86" w:hanging="176" w:hangingChars="98"/>
        <w:rPr>
          <w:rFonts w:hint="eastAsia" w:asciiTheme="minorEastAsia" w:hAnsiTheme="minorEastAsia" w:eastAsiaTheme="minorEastAsia"/>
          <w:sz w:val="18"/>
          <w:szCs w:val="18"/>
        </w:rPr>
      </w:pPr>
    </w:p>
    <w:p w14:paraId="2AF5F762">
      <w:pPr>
        <w:snapToGrid w:val="0"/>
        <w:spacing w:line="520" w:lineRule="exact"/>
        <w:ind w:left="382" w:leftChars="86" w:hanging="176" w:hangingChars="98"/>
        <w:rPr>
          <w:rFonts w:hint="eastAsia" w:asciiTheme="minorEastAsia" w:hAnsiTheme="minorEastAsia" w:eastAsiaTheme="minorEastAsia"/>
          <w:sz w:val="18"/>
          <w:szCs w:val="18"/>
        </w:rPr>
      </w:pPr>
    </w:p>
    <w:p w14:paraId="03EDB606">
      <w:pPr>
        <w:snapToGrid w:val="0"/>
        <w:spacing w:line="520" w:lineRule="exact"/>
        <w:ind w:left="382" w:leftChars="86" w:hanging="176" w:hangingChars="98"/>
        <w:rPr>
          <w:rFonts w:hint="eastAsia" w:asciiTheme="minorEastAsia" w:hAnsiTheme="minorEastAsia" w:eastAsiaTheme="minorEastAsia"/>
          <w:sz w:val="18"/>
          <w:szCs w:val="18"/>
        </w:rPr>
      </w:pPr>
    </w:p>
    <w:p w14:paraId="5FCA297B">
      <w:pPr>
        <w:snapToGrid w:val="0"/>
        <w:spacing w:line="520" w:lineRule="exact"/>
        <w:ind w:left="382" w:leftChars="86" w:hanging="176" w:hangingChars="98"/>
        <w:rPr>
          <w:rFonts w:hint="eastAsia" w:asciiTheme="minorEastAsia" w:hAnsiTheme="minorEastAsia" w:eastAsiaTheme="minorEastAsia"/>
          <w:sz w:val="18"/>
          <w:szCs w:val="18"/>
        </w:rPr>
      </w:pPr>
    </w:p>
    <w:p w14:paraId="33DB6D98">
      <w:pPr>
        <w:snapToGrid w:val="0"/>
        <w:spacing w:line="520" w:lineRule="exact"/>
        <w:ind w:left="382" w:leftChars="86" w:hanging="176" w:hangingChars="98"/>
        <w:rPr>
          <w:rFonts w:hint="eastAsia" w:asciiTheme="minorEastAsia" w:hAnsiTheme="minorEastAsia" w:eastAsiaTheme="minorEastAsia"/>
          <w:sz w:val="18"/>
          <w:szCs w:val="18"/>
        </w:rPr>
      </w:pPr>
    </w:p>
    <w:p w14:paraId="4E8E3FC9">
      <w:pPr>
        <w:snapToGrid w:val="0"/>
        <w:spacing w:line="520" w:lineRule="exact"/>
        <w:ind w:left="382" w:leftChars="86" w:hanging="176" w:hangingChars="98"/>
        <w:rPr>
          <w:rFonts w:hint="eastAsia" w:asciiTheme="minorEastAsia" w:hAnsiTheme="minorEastAsia" w:eastAsiaTheme="minorEastAsia"/>
          <w:sz w:val="18"/>
          <w:szCs w:val="18"/>
        </w:rPr>
      </w:pPr>
    </w:p>
    <w:p w14:paraId="26E772D5">
      <w:pPr>
        <w:snapToGrid w:val="0"/>
        <w:spacing w:line="520" w:lineRule="exact"/>
        <w:ind w:left="382" w:leftChars="86" w:hanging="176" w:hangingChars="98"/>
        <w:rPr>
          <w:rFonts w:hint="eastAsia" w:asciiTheme="minorEastAsia" w:hAnsiTheme="minorEastAsia" w:eastAsiaTheme="minorEastAsia"/>
          <w:sz w:val="18"/>
          <w:szCs w:val="18"/>
        </w:rPr>
      </w:pPr>
    </w:p>
    <w:p w14:paraId="75B2A35F">
      <w:pPr>
        <w:snapToGrid w:val="0"/>
        <w:spacing w:line="520" w:lineRule="exact"/>
        <w:ind w:left="382" w:leftChars="86" w:hanging="176" w:hangingChars="98"/>
        <w:rPr>
          <w:rFonts w:hint="eastAsia" w:asciiTheme="minorEastAsia" w:hAnsiTheme="minorEastAsia" w:eastAsiaTheme="minorEastAsia"/>
          <w:sz w:val="18"/>
          <w:szCs w:val="18"/>
        </w:rPr>
      </w:pPr>
    </w:p>
    <w:p w14:paraId="11A86BE9">
      <w:pPr>
        <w:snapToGrid w:val="0"/>
        <w:spacing w:line="520" w:lineRule="exact"/>
        <w:ind w:left="382" w:leftChars="86" w:hanging="176" w:hangingChars="98"/>
        <w:rPr>
          <w:rFonts w:hint="eastAsia" w:asciiTheme="minorEastAsia" w:hAnsiTheme="minorEastAsia" w:eastAsiaTheme="minorEastAsia"/>
          <w:sz w:val="18"/>
          <w:szCs w:val="18"/>
        </w:rPr>
      </w:pPr>
    </w:p>
    <w:p w14:paraId="27AB7CBD">
      <w:pPr>
        <w:snapToGrid w:val="0"/>
        <w:spacing w:line="520" w:lineRule="exact"/>
        <w:ind w:left="382" w:leftChars="86" w:hanging="176" w:hangingChars="98"/>
        <w:rPr>
          <w:rFonts w:hint="eastAsia" w:asciiTheme="minorEastAsia" w:hAnsiTheme="minorEastAsia" w:eastAsiaTheme="minorEastAsia"/>
          <w:sz w:val="18"/>
          <w:szCs w:val="18"/>
        </w:rPr>
      </w:pPr>
    </w:p>
    <w:p w14:paraId="54122305">
      <w:pPr>
        <w:snapToGrid w:val="0"/>
        <w:spacing w:line="520" w:lineRule="exact"/>
        <w:ind w:left="382" w:leftChars="86" w:hanging="176" w:hangingChars="98"/>
        <w:rPr>
          <w:rFonts w:hint="eastAsia" w:asciiTheme="minorEastAsia" w:hAnsiTheme="minorEastAsia" w:eastAsiaTheme="minorEastAsia"/>
          <w:sz w:val="18"/>
          <w:szCs w:val="18"/>
        </w:rPr>
      </w:pPr>
    </w:p>
    <w:p w14:paraId="04CB7475">
      <w:pPr>
        <w:snapToGrid w:val="0"/>
        <w:spacing w:line="520" w:lineRule="exact"/>
        <w:ind w:left="382" w:leftChars="86" w:hanging="176" w:hangingChars="98"/>
        <w:rPr>
          <w:rFonts w:hint="eastAsia" w:asciiTheme="minorEastAsia" w:hAnsiTheme="minorEastAsia" w:eastAsiaTheme="minorEastAsia"/>
          <w:sz w:val="18"/>
          <w:szCs w:val="18"/>
        </w:rPr>
      </w:pPr>
    </w:p>
    <w:p w14:paraId="04A71960">
      <w:pPr>
        <w:snapToGrid w:val="0"/>
        <w:spacing w:line="520" w:lineRule="exact"/>
        <w:ind w:left="382" w:leftChars="86" w:hanging="176" w:hangingChars="98"/>
        <w:rPr>
          <w:rFonts w:hint="eastAsia" w:asciiTheme="minorEastAsia" w:hAnsiTheme="minorEastAsia" w:eastAsiaTheme="minorEastAsia"/>
          <w:sz w:val="18"/>
          <w:szCs w:val="18"/>
        </w:rPr>
      </w:pPr>
    </w:p>
    <w:p w14:paraId="62A471B9">
      <w:pPr>
        <w:snapToGrid w:val="0"/>
        <w:spacing w:line="520" w:lineRule="exact"/>
        <w:ind w:left="382" w:leftChars="86" w:hanging="176" w:hangingChars="98"/>
        <w:rPr>
          <w:rFonts w:hint="eastAsia" w:asciiTheme="minorEastAsia" w:hAnsiTheme="minorEastAsia" w:eastAsiaTheme="minorEastAsia"/>
          <w:sz w:val="18"/>
          <w:szCs w:val="18"/>
        </w:rPr>
      </w:pPr>
    </w:p>
    <w:p w14:paraId="4F340775">
      <w:pPr>
        <w:snapToGrid w:val="0"/>
        <w:spacing w:line="520" w:lineRule="exact"/>
        <w:ind w:left="382" w:leftChars="86" w:hanging="176" w:hangingChars="98"/>
        <w:rPr>
          <w:rFonts w:hint="eastAsia" w:asciiTheme="minorEastAsia" w:hAnsiTheme="minorEastAsia" w:eastAsiaTheme="minorEastAsia"/>
          <w:sz w:val="18"/>
          <w:szCs w:val="18"/>
        </w:rPr>
      </w:pPr>
    </w:p>
    <w:p w14:paraId="3829F34A">
      <w:pPr>
        <w:snapToGrid w:val="0"/>
        <w:spacing w:line="520" w:lineRule="exact"/>
        <w:ind w:left="382" w:leftChars="86" w:hanging="176" w:hangingChars="98"/>
        <w:rPr>
          <w:rFonts w:hint="eastAsia" w:asciiTheme="minorEastAsia" w:hAnsiTheme="minorEastAsia" w:eastAsiaTheme="minorEastAsia"/>
          <w:sz w:val="18"/>
          <w:szCs w:val="18"/>
        </w:rPr>
      </w:pPr>
    </w:p>
    <w:p w14:paraId="46D184F7">
      <w:pPr>
        <w:snapToGrid w:val="0"/>
        <w:spacing w:line="520" w:lineRule="exact"/>
        <w:ind w:left="382" w:leftChars="86" w:hanging="176" w:hangingChars="98"/>
        <w:rPr>
          <w:rFonts w:hint="eastAsia" w:asciiTheme="minorEastAsia" w:hAnsiTheme="minorEastAsia" w:eastAsiaTheme="minorEastAsia"/>
          <w:sz w:val="18"/>
          <w:szCs w:val="18"/>
        </w:rPr>
      </w:pPr>
    </w:p>
    <w:p w14:paraId="489A0A68">
      <w:pPr>
        <w:snapToGrid w:val="0"/>
        <w:spacing w:line="520" w:lineRule="exact"/>
        <w:ind w:left="382" w:leftChars="86" w:hanging="176" w:hangingChars="98"/>
        <w:rPr>
          <w:rFonts w:hint="eastAsia" w:asciiTheme="minorEastAsia" w:hAnsiTheme="minorEastAsia" w:eastAsiaTheme="minorEastAsia"/>
          <w:sz w:val="18"/>
          <w:szCs w:val="18"/>
        </w:rPr>
      </w:pPr>
    </w:p>
    <w:p w14:paraId="78BC851A">
      <w:pPr>
        <w:snapToGrid w:val="0"/>
        <w:spacing w:line="520" w:lineRule="exact"/>
        <w:ind w:left="382" w:leftChars="86" w:hanging="176" w:hangingChars="98"/>
        <w:rPr>
          <w:rFonts w:hint="eastAsia" w:asciiTheme="minorEastAsia" w:hAnsiTheme="minorEastAsia" w:eastAsiaTheme="minorEastAsia"/>
          <w:sz w:val="18"/>
          <w:szCs w:val="18"/>
        </w:rPr>
      </w:pPr>
    </w:p>
    <w:p w14:paraId="268E0D48">
      <w:pPr>
        <w:snapToGrid w:val="0"/>
        <w:spacing w:line="520" w:lineRule="exact"/>
        <w:ind w:left="382" w:leftChars="86" w:hanging="176" w:hangingChars="98"/>
        <w:rPr>
          <w:rFonts w:hint="eastAsia" w:asciiTheme="minorEastAsia" w:hAnsiTheme="minorEastAsia" w:eastAsiaTheme="minorEastAsia"/>
          <w:sz w:val="18"/>
          <w:szCs w:val="18"/>
        </w:rPr>
      </w:pPr>
    </w:p>
    <w:p w14:paraId="0B6C0DB9">
      <w:pPr>
        <w:snapToGrid w:val="0"/>
        <w:spacing w:line="520" w:lineRule="exact"/>
        <w:ind w:left="382" w:leftChars="86" w:hanging="176" w:hangingChars="98"/>
        <w:rPr>
          <w:rFonts w:hint="eastAsia" w:asciiTheme="minorEastAsia" w:hAnsiTheme="minorEastAsia" w:eastAsiaTheme="minorEastAsia"/>
          <w:sz w:val="18"/>
          <w:szCs w:val="18"/>
        </w:rPr>
      </w:pPr>
    </w:p>
    <w:p w14:paraId="6658A004">
      <w:pPr>
        <w:snapToGrid w:val="0"/>
        <w:spacing w:line="520" w:lineRule="exact"/>
        <w:ind w:left="382" w:leftChars="86" w:hanging="176" w:hangingChars="98"/>
        <w:rPr>
          <w:rFonts w:hint="eastAsia" w:asciiTheme="minorEastAsia" w:hAnsiTheme="minorEastAsia" w:eastAsiaTheme="minorEastAsia"/>
          <w:sz w:val="18"/>
          <w:szCs w:val="18"/>
        </w:rPr>
      </w:pPr>
    </w:p>
    <w:p w14:paraId="228F7DE0">
      <w:pPr>
        <w:snapToGrid w:val="0"/>
        <w:spacing w:line="500" w:lineRule="exact"/>
        <w:ind w:firstLine="275" w:firstLineChars="98"/>
        <w:rPr>
          <w:rFonts w:hint="eastAsia" w:ascii="仿宋" w:hAnsi="仿宋" w:eastAsia="仿宋" w:cs="仿宋"/>
          <w:b/>
          <w:sz w:val="28"/>
          <w:szCs w:val="28"/>
        </w:rPr>
      </w:pPr>
      <w:r>
        <w:rPr>
          <w:rFonts w:hint="eastAsia" w:ascii="仿宋" w:hAnsi="仿宋" w:eastAsia="仿宋" w:cs="仿宋"/>
          <w:b/>
          <w:sz w:val="28"/>
          <w:szCs w:val="28"/>
        </w:rPr>
        <w:t>十、近三年官网诚信证明截图证明</w:t>
      </w:r>
    </w:p>
    <w:p w14:paraId="4D4B2DCB">
      <w:pPr>
        <w:snapToGrid w:val="0"/>
        <w:spacing w:line="520" w:lineRule="exact"/>
        <w:ind w:left="382" w:leftChars="86" w:hanging="176" w:hangingChars="98"/>
        <w:rPr>
          <w:rFonts w:hint="eastAsia" w:ascii="仿宋" w:hAnsi="仿宋" w:eastAsia="仿宋" w:cs="仿宋"/>
          <w:b/>
          <w:sz w:val="28"/>
          <w:szCs w:val="28"/>
        </w:rPr>
      </w:pPr>
      <w:r>
        <w:rPr>
          <w:rFonts w:hint="eastAsia" w:asciiTheme="minorEastAsia" w:hAnsiTheme="minorEastAsia" w:eastAsiaTheme="minorEastAsia"/>
          <w:sz w:val="18"/>
          <w:szCs w:val="18"/>
        </w:rPr>
        <w:br w:type="page"/>
      </w:r>
      <w:r>
        <w:rPr>
          <w:rFonts w:hint="eastAsia" w:ascii="仿宋" w:hAnsi="仿宋" w:eastAsia="仿宋" w:cs="仿宋"/>
          <w:b/>
          <w:sz w:val="28"/>
          <w:szCs w:val="28"/>
        </w:rPr>
        <w:t>十一、承诺函</w:t>
      </w:r>
    </w:p>
    <w:p w14:paraId="5828A9D3">
      <w:pPr>
        <w:spacing w:line="52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__________________（采购人）：</w:t>
      </w:r>
    </w:p>
    <w:p w14:paraId="2B07DEC4">
      <w:pPr>
        <w:spacing w:line="520" w:lineRule="exact"/>
        <w:rPr>
          <w:rFonts w:hint="eastAsia" w:ascii="仿宋" w:hAnsi="仿宋" w:eastAsia="仿宋" w:cs="仿宋"/>
          <w:sz w:val="28"/>
          <w:szCs w:val="28"/>
        </w:rPr>
      </w:pPr>
    </w:p>
    <w:p w14:paraId="67F9DA3F">
      <w:pPr>
        <w:spacing w:line="520" w:lineRule="exact"/>
        <w:ind w:firstLine="420"/>
        <w:rPr>
          <w:rFonts w:hint="eastAsia" w:ascii="仿宋" w:hAnsi="仿宋" w:eastAsia="仿宋" w:cs="仿宋"/>
          <w:sz w:val="28"/>
          <w:szCs w:val="28"/>
        </w:rPr>
      </w:pPr>
      <w:r>
        <w:rPr>
          <w:rFonts w:hint="eastAsia" w:ascii="仿宋" w:hAnsi="仿宋" w:eastAsia="仿宋" w:cs="仿宋"/>
          <w:sz w:val="28"/>
          <w:szCs w:val="28"/>
        </w:rPr>
        <w:t>本公司作为参加本次招标的供应商，郑重承诺具备以下条件：</w:t>
      </w:r>
    </w:p>
    <w:p w14:paraId="093B52AF">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1．投标人具有独立承担民事责任的能力；</w:t>
      </w:r>
    </w:p>
    <w:p w14:paraId="533BE8CC">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2．投标人具有良好的商业信誉和健全的财务会计制度，并提供近三年的财务报表；</w:t>
      </w:r>
    </w:p>
    <w:p w14:paraId="76F1BA15">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3．投标人具有依法缴纳税收和社会保障资金的良好纪录，并提供近三年的纳税及员工社保缴纳证明；</w:t>
      </w:r>
    </w:p>
    <w:p w14:paraId="2827DE1D">
      <w:pPr>
        <w:spacing w:line="52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4．投标人符合国家现行有关服务器、计算机设备、信息技术设备安全、电磁兼容、网络安全、机房运行环境及节能环保等相关标准和规范要求，</w:t>
      </w:r>
    </w:p>
    <w:p w14:paraId="36E1670B">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投标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6F18CD0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6．投标人具有完善的质量保证和售后服务体系； </w:t>
      </w:r>
    </w:p>
    <w:p w14:paraId="09687D28">
      <w:pPr>
        <w:spacing w:line="520" w:lineRule="exact"/>
        <w:ind w:firstLine="560" w:firstLineChars="200"/>
        <w:rPr>
          <w:rFonts w:hint="eastAsia" w:ascii="仿宋" w:hAnsi="仿宋" w:eastAsia="仿宋" w:cs="仿宋"/>
          <w:b/>
          <w:bCs/>
          <w:color w:val="FF0000"/>
          <w:sz w:val="28"/>
          <w:szCs w:val="28"/>
        </w:rPr>
      </w:pPr>
      <w:r>
        <w:rPr>
          <w:rFonts w:hint="eastAsia" w:ascii="仿宋" w:hAnsi="仿宋" w:eastAsia="仿宋" w:cs="仿宋"/>
          <w:sz w:val="28"/>
          <w:szCs w:val="28"/>
        </w:rPr>
        <w:t>7.本项目不接受联合体投标。</w:t>
      </w:r>
    </w:p>
    <w:p w14:paraId="0FC84CD2">
      <w:pPr>
        <w:spacing w:line="520" w:lineRule="exact"/>
        <w:rPr>
          <w:rFonts w:hint="eastAsia" w:ascii="仿宋" w:hAnsi="仿宋" w:eastAsia="仿宋" w:cs="仿宋"/>
          <w:sz w:val="28"/>
          <w:szCs w:val="28"/>
        </w:rPr>
      </w:pPr>
    </w:p>
    <w:p w14:paraId="58AB4191">
      <w:pPr>
        <w:spacing w:line="520" w:lineRule="exact"/>
        <w:rPr>
          <w:rFonts w:hint="eastAsia" w:ascii="仿宋" w:hAnsi="仿宋" w:eastAsia="仿宋" w:cs="仿宋"/>
          <w:sz w:val="28"/>
          <w:szCs w:val="28"/>
        </w:rPr>
      </w:pPr>
    </w:p>
    <w:p w14:paraId="3CFF42D3">
      <w:pPr>
        <w:spacing w:line="520" w:lineRule="exact"/>
        <w:rPr>
          <w:rFonts w:hint="eastAsia" w:ascii="仿宋" w:hAnsi="仿宋" w:eastAsia="仿宋" w:cs="仿宋"/>
          <w:sz w:val="28"/>
          <w:szCs w:val="28"/>
        </w:rPr>
      </w:pPr>
    </w:p>
    <w:p w14:paraId="28C66E42">
      <w:pPr>
        <w:spacing w:line="520" w:lineRule="exact"/>
        <w:rPr>
          <w:rFonts w:hint="eastAsia" w:ascii="仿宋" w:hAnsi="仿宋" w:eastAsia="仿宋" w:cs="仿宋"/>
          <w:sz w:val="28"/>
          <w:szCs w:val="28"/>
        </w:rPr>
      </w:pPr>
    </w:p>
    <w:p w14:paraId="5F80B204">
      <w:pPr>
        <w:adjustRightIn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673A2DB3">
      <w:pPr>
        <w:adjustRightInd w:val="0"/>
        <w:spacing w:line="52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法定代表人或授权代表（签字或盖章）：</w:t>
      </w:r>
    </w:p>
    <w:p w14:paraId="3DF81B99">
      <w:pPr>
        <w:adjustRightInd w:val="0"/>
        <w:spacing w:line="52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日期:</w:t>
      </w:r>
    </w:p>
    <w:p w14:paraId="767BA608">
      <w:pPr>
        <w:snapToGrid w:val="0"/>
        <w:spacing w:line="500" w:lineRule="exact"/>
        <w:rPr>
          <w:rFonts w:hint="eastAsia" w:asciiTheme="minorEastAsia" w:hAnsiTheme="minorEastAsia" w:eastAsiaTheme="minorEastAsia"/>
          <w:b/>
          <w:bCs/>
          <w:kern w:val="0"/>
          <w:sz w:val="21"/>
          <w:szCs w:val="21"/>
        </w:rPr>
        <w:sectPr>
          <w:pgSz w:w="11907" w:h="16840"/>
          <w:pgMar w:top="1440" w:right="1466" w:bottom="1440" w:left="1440" w:header="851" w:footer="992" w:gutter="0"/>
          <w:cols w:space="425" w:num="1"/>
          <w:docGrid w:linePitch="312" w:charSpace="0"/>
        </w:sectPr>
      </w:pPr>
      <w:r>
        <w:rPr>
          <w:rFonts w:hint="eastAsia" w:asciiTheme="minorEastAsia" w:hAnsiTheme="minorEastAsia" w:eastAsiaTheme="minorEastAsia"/>
        </w:rPr>
        <w:br w:type="page"/>
      </w:r>
    </w:p>
    <w:p w14:paraId="4B07A3D0">
      <w:pPr>
        <w:numPr>
          <w:ilvl w:val="0"/>
          <w:numId w:val="17"/>
        </w:numPr>
        <w:adjustRightInd w:val="0"/>
        <w:spacing w:line="480" w:lineRule="auto"/>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投标文件PDF格式的电子档U盘一份</w:t>
      </w:r>
    </w:p>
    <w:p w14:paraId="7FCF9B48">
      <w:pPr>
        <w:adjustRightInd w:val="0"/>
        <w:spacing w:line="480" w:lineRule="auto"/>
        <w:jc w:val="left"/>
        <w:rPr>
          <w:rFonts w:ascii="Times New Roman" w:hAnsi="Times New Roman" w:eastAsia="方正仿宋_GBK" w:cs="Times New Roman"/>
          <w:sz w:val="28"/>
          <w:szCs w:val="28"/>
        </w:rPr>
      </w:pPr>
    </w:p>
    <w:p w14:paraId="18454B7D">
      <w:pPr>
        <w:adjustRightInd w:val="0"/>
        <w:spacing w:line="480" w:lineRule="auto"/>
        <w:jc w:val="left"/>
        <w:rPr>
          <w:rFonts w:ascii="Times New Roman" w:hAnsi="Times New Roman" w:eastAsia="方正仿宋_GBK" w:cs="Times New Roman"/>
          <w:sz w:val="28"/>
          <w:szCs w:val="28"/>
        </w:rPr>
      </w:pPr>
    </w:p>
    <w:p w14:paraId="1E4428BC">
      <w:pPr>
        <w:adjustRightInd w:val="0"/>
        <w:spacing w:line="480" w:lineRule="auto"/>
        <w:jc w:val="left"/>
        <w:rPr>
          <w:rFonts w:ascii="Times New Roman" w:hAnsi="Times New Roman" w:eastAsia="方正仿宋_GBK" w:cs="Times New Roman"/>
          <w:sz w:val="28"/>
          <w:szCs w:val="28"/>
        </w:rPr>
      </w:pPr>
    </w:p>
    <w:p w14:paraId="7BA8284E">
      <w:pPr>
        <w:adjustRightInd w:val="0"/>
        <w:spacing w:line="480" w:lineRule="auto"/>
        <w:jc w:val="left"/>
        <w:rPr>
          <w:rFonts w:ascii="Times New Roman" w:hAnsi="Times New Roman" w:eastAsia="方正仿宋_GBK" w:cs="Times New Roman"/>
          <w:sz w:val="28"/>
          <w:szCs w:val="28"/>
        </w:rPr>
      </w:pPr>
    </w:p>
    <w:p w14:paraId="7D65EA3D">
      <w:pPr>
        <w:adjustRightInd w:val="0"/>
        <w:spacing w:line="480" w:lineRule="auto"/>
        <w:jc w:val="left"/>
        <w:rPr>
          <w:rFonts w:ascii="Times New Roman" w:hAnsi="Times New Roman" w:eastAsia="方正仿宋_GBK" w:cs="Times New Roman"/>
          <w:sz w:val="28"/>
          <w:szCs w:val="28"/>
        </w:rPr>
      </w:pPr>
    </w:p>
    <w:p w14:paraId="5EF5E150">
      <w:pPr>
        <w:adjustRightInd w:val="0"/>
        <w:spacing w:line="480" w:lineRule="auto"/>
        <w:jc w:val="left"/>
        <w:rPr>
          <w:rFonts w:ascii="Times New Roman" w:hAnsi="Times New Roman" w:eastAsia="方正仿宋_GBK" w:cs="Times New Roman"/>
          <w:sz w:val="28"/>
          <w:szCs w:val="28"/>
        </w:rPr>
      </w:pPr>
    </w:p>
    <w:p w14:paraId="5D8A934A">
      <w:pPr>
        <w:adjustRightInd w:val="0"/>
        <w:spacing w:line="480" w:lineRule="auto"/>
        <w:jc w:val="left"/>
        <w:rPr>
          <w:rFonts w:ascii="Times New Roman" w:hAnsi="Times New Roman" w:eastAsia="方正仿宋_GBK" w:cs="Times New Roman"/>
          <w:sz w:val="28"/>
          <w:szCs w:val="28"/>
        </w:rPr>
      </w:pPr>
    </w:p>
    <w:p w14:paraId="79D5B70A">
      <w:pPr>
        <w:adjustRightInd w:val="0"/>
        <w:spacing w:line="480" w:lineRule="auto"/>
        <w:jc w:val="left"/>
        <w:rPr>
          <w:rFonts w:ascii="Times New Roman" w:hAnsi="Times New Roman" w:eastAsia="方正仿宋_GBK" w:cs="Times New Roman"/>
          <w:sz w:val="28"/>
          <w:szCs w:val="28"/>
        </w:rPr>
      </w:pPr>
    </w:p>
    <w:p w14:paraId="08229804">
      <w:pPr>
        <w:adjustRightInd w:val="0"/>
        <w:spacing w:line="480" w:lineRule="auto"/>
        <w:jc w:val="left"/>
        <w:rPr>
          <w:rFonts w:ascii="Times New Roman" w:hAnsi="Times New Roman" w:eastAsia="方正仿宋_GBK" w:cs="Times New Roman"/>
          <w:sz w:val="28"/>
          <w:szCs w:val="28"/>
        </w:rPr>
      </w:pPr>
    </w:p>
    <w:p w14:paraId="5F62DE9D">
      <w:pPr>
        <w:adjustRightInd w:val="0"/>
        <w:spacing w:line="480" w:lineRule="auto"/>
        <w:jc w:val="left"/>
        <w:rPr>
          <w:rFonts w:ascii="Times New Roman" w:hAnsi="Times New Roman" w:eastAsia="方正仿宋_GBK" w:cs="Times New Roman"/>
          <w:sz w:val="28"/>
          <w:szCs w:val="28"/>
        </w:rPr>
      </w:pPr>
    </w:p>
    <w:p w14:paraId="43320923">
      <w:pPr>
        <w:adjustRightInd w:val="0"/>
        <w:spacing w:line="480" w:lineRule="auto"/>
        <w:jc w:val="left"/>
        <w:rPr>
          <w:rFonts w:ascii="Times New Roman" w:hAnsi="Times New Roman" w:eastAsia="方正仿宋_GBK" w:cs="Times New Roman"/>
          <w:sz w:val="28"/>
          <w:szCs w:val="28"/>
        </w:rPr>
      </w:pPr>
    </w:p>
    <w:p w14:paraId="37902D45">
      <w:pPr>
        <w:adjustRightInd w:val="0"/>
        <w:spacing w:line="480" w:lineRule="auto"/>
        <w:jc w:val="left"/>
        <w:rPr>
          <w:rFonts w:ascii="Times New Roman" w:hAnsi="Times New Roman" w:eastAsia="方正仿宋_GBK" w:cs="Times New Roman"/>
          <w:sz w:val="28"/>
          <w:szCs w:val="28"/>
        </w:rPr>
      </w:pPr>
    </w:p>
    <w:p w14:paraId="1646D5F5">
      <w:pPr>
        <w:adjustRightInd w:val="0"/>
        <w:spacing w:line="480" w:lineRule="auto"/>
        <w:jc w:val="left"/>
        <w:rPr>
          <w:rFonts w:ascii="Times New Roman" w:hAnsi="Times New Roman" w:eastAsia="方正仿宋_GBK" w:cs="Times New Roman"/>
          <w:sz w:val="28"/>
          <w:szCs w:val="28"/>
        </w:rPr>
      </w:pPr>
    </w:p>
    <w:p w14:paraId="6DE1F962">
      <w:pPr>
        <w:adjustRightInd w:val="0"/>
        <w:spacing w:line="480" w:lineRule="auto"/>
        <w:jc w:val="left"/>
        <w:rPr>
          <w:rFonts w:ascii="Times New Roman" w:hAnsi="Times New Roman" w:eastAsia="方正仿宋_GBK" w:cs="Times New Roman"/>
          <w:sz w:val="28"/>
          <w:szCs w:val="28"/>
        </w:rPr>
      </w:pPr>
    </w:p>
    <w:p w14:paraId="55EEA1C2">
      <w:pPr>
        <w:adjustRightInd w:val="0"/>
        <w:spacing w:line="480" w:lineRule="auto"/>
        <w:jc w:val="left"/>
        <w:rPr>
          <w:rFonts w:ascii="Times New Roman" w:hAnsi="Times New Roman" w:eastAsia="方正仿宋_GBK" w:cs="Times New Roman"/>
          <w:sz w:val="28"/>
          <w:szCs w:val="28"/>
        </w:rPr>
      </w:pPr>
    </w:p>
    <w:p w14:paraId="2DAA3EA1">
      <w:pPr>
        <w:adjustRightInd w:val="0"/>
        <w:spacing w:line="480" w:lineRule="auto"/>
        <w:jc w:val="left"/>
        <w:rPr>
          <w:rFonts w:ascii="Times New Roman" w:hAnsi="Times New Roman" w:eastAsia="方正仿宋_GBK" w:cs="Times New Roman"/>
          <w:sz w:val="28"/>
          <w:szCs w:val="28"/>
        </w:rPr>
      </w:pPr>
    </w:p>
    <w:p w14:paraId="56CE7618">
      <w:pPr>
        <w:adjustRightInd w:val="0"/>
        <w:spacing w:line="480" w:lineRule="auto"/>
        <w:jc w:val="left"/>
        <w:rPr>
          <w:rFonts w:ascii="Times New Roman" w:hAnsi="Times New Roman" w:eastAsia="方正仿宋_GBK" w:cs="Times New Roman"/>
          <w:sz w:val="28"/>
          <w:szCs w:val="28"/>
        </w:rPr>
      </w:pPr>
    </w:p>
    <w:p w14:paraId="71F5FB38">
      <w:pPr>
        <w:adjustRightInd w:val="0"/>
        <w:spacing w:line="480" w:lineRule="auto"/>
        <w:jc w:val="left"/>
        <w:rPr>
          <w:rFonts w:ascii="Times New Roman" w:hAnsi="Times New Roman" w:eastAsia="方正仿宋_GBK" w:cs="Times New Roman"/>
          <w:sz w:val="28"/>
          <w:szCs w:val="28"/>
        </w:rPr>
      </w:pPr>
    </w:p>
    <w:p w14:paraId="2F375FAD">
      <w:pPr>
        <w:adjustRightInd w:val="0"/>
        <w:spacing w:line="480" w:lineRule="auto"/>
        <w:jc w:val="left"/>
        <w:rPr>
          <w:rFonts w:ascii="Times New Roman" w:hAnsi="Times New Roman" w:eastAsia="方正仿宋_GBK" w:cs="Times New Roman"/>
          <w:sz w:val="28"/>
          <w:szCs w:val="28"/>
        </w:rPr>
      </w:pPr>
    </w:p>
    <w:p w14:paraId="3D241363">
      <w:pPr>
        <w:adjustRightInd w:val="0"/>
        <w:spacing w:line="480" w:lineRule="auto"/>
        <w:jc w:val="left"/>
        <w:rPr>
          <w:rFonts w:ascii="Times New Roman" w:hAnsi="Times New Roman" w:eastAsia="方正仿宋_GBK" w:cs="Times New Roman"/>
          <w:sz w:val="28"/>
          <w:szCs w:val="28"/>
        </w:rPr>
      </w:pPr>
    </w:p>
    <w:p w14:paraId="30C5D128">
      <w:pPr>
        <w:adjustRightInd w:val="0"/>
        <w:spacing w:line="480" w:lineRule="auto"/>
        <w:ind w:left="240"/>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十三、招标文件购买费缴纳凭据</w:t>
      </w:r>
    </w:p>
    <w:p w14:paraId="66A03FE8">
      <w:pPr>
        <w:snapToGrid w:val="0"/>
        <w:spacing w:line="360" w:lineRule="auto"/>
        <w:ind w:firstLine="480" w:firstLineChars="200"/>
        <w:jc w:val="left"/>
        <w:rPr>
          <w:rFonts w:hint="eastAsia" w:cs="方正仿宋_GBK" w:asciiTheme="minorEastAsia" w:hAnsiTheme="minorEastAsia" w:eastAsiaTheme="minorEastAsia"/>
        </w:rPr>
      </w:pPr>
    </w:p>
    <w:p w14:paraId="2FFE70D1">
      <w:pPr>
        <w:snapToGrid w:val="0"/>
        <w:spacing w:line="360" w:lineRule="auto"/>
        <w:ind w:firstLine="480" w:firstLineChars="200"/>
        <w:jc w:val="left"/>
        <w:rPr>
          <w:rFonts w:hint="eastAsia" w:cs="方正仿宋_GBK" w:asciiTheme="minorEastAsia" w:hAnsiTheme="minorEastAsia" w:eastAsiaTheme="minorEastAsia"/>
        </w:rPr>
      </w:pPr>
    </w:p>
    <w:p w14:paraId="5D8D5E85">
      <w:pPr>
        <w:snapToGrid w:val="0"/>
        <w:spacing w:line="360" w:lineRule="auto"/>
        <w:ind w:firstLine="480" w:firstLineChars="200"/>
        <w:jc w:val="left"/>
        <w:rPr>
          <w:rFonts w:hint="eastAsia" w:cs="方正仿宋_GBK" w:asciiTheme="minorEastAsia" w:hAnsiTheme="minorEastAsia" w:eastAsiaTheme="minorEastAsia"/>
        </w:rPr>
      </w:pPr>
    </w:p>
    <w:p w14:paraId="175A82C2">
      <w:pPr>
        <w:snapToGrid w:val="0"/>
        <w:spacing w:line="360" w:lineRule="auto"/>
        <w:ind w:firstLine="480" w:firstLineChars="200"/>
        <w:jc w:val="left"/>
        <w:rPr>
          <w:rFonts w:hint="eastAsia" w:cs="方正仿宋_GBK" w:asciiTheme="minorEastAsia" w:hAnsiTheme="minorEastAsia" w:eastAsiaTheme="minorEastAsia"/>
        </w:rPr>
      </w:pPr>
    </w:p>
    <w:p w14:paraId="781462EC">
      <w:pPr>
        <w:snapToGrid w:val="0"/>
        <w:spacing w:line="360" w:lineRule="auto"/>
        <w:ind w:firstLine="480" w:firstLineChars="200"/>
        <w:jc w:val="left"/>
        <w:rPr>
          <w:rFonts w:hint="eastAsia" w:cs="方正仿宋_GBK" w:asciiTheme="minorEastAsia" w:hAnsiTheme="minorEastAsia" w:eastAsiaTheme="minorEastAsia"/>
        </w:rPr>
      </w:pPr>
    </w:p>
    <w:p w14:paraId="76D2E0A0">
      <w:pPr>
        <w:snapToGrid w:val="0"/>
        <w:spacing w:line="360" w:lineRule="auto"/>
        <w:ind w:firstLine="480" w:firstLineChars="200"/>
        <w:jc w:val="left"/>
        <w:rPr>
          <w:rFonts w:hint="eastAsia" w:cs="方正仿宋_GBK" w:asciiTheme="minorEastAsia" w:hAnsiTheme="minorEastAsia" w:eastAsiaTheme="minorEastAsia"/>
        </w:rPr>
      </w:pPr>
    </w:p>
    <w:p w14:paraId="2374B4BD">
      <w:pPr>
        <w:snapToGrid w:val="0"/>
        <w:spacing w:line="360" w:lineRule="auto"/>
        <w:ind w:firstLine="480" w:firstLineChars="200"/>
        <w:jc w:val="left"/>
        <w:rPr>
          <w:rFonts w:hint="eastAsia" w:cs="方正仿宋_GBK" w:asciiTheme="minorEastAsia" w:hAnsiTheme="minorEastAsia" w:eastAsiaTheme="minorEastAsia"/>
        </w:rPr>
      </w:pPr>
    </w:p>
    <w:p w14:paraId="5E68F201">
      <w:pPr>
        <w:snapToGrid w:val="0"/>
        <w:spacing w:line="360" w:lineRule="auto"/>
        <w:ind w:firstLine="480" w:firstLineChars="200"/>
        <w:jc w:val="left"/>
        <w:rPr>
          <w:rFonts w:hint="eastAsia" w:cs="方正仿宋_GBK" w:asciiTheme="minorEastAsia" w:hAnsiTheme="minorEastAsia" w:eastAsiaTheme="minorEastAsia"/>
        </w:rPr>
      </w:pPr>
    </w:p>
    <w:p w14:paraId="345BF4F7">
      <w:pPr>
        <w:snapToGrid w:val="0"/>
        <w:spacing w:line="360" w:lineRule="auto"/>
        <w:ind w:firstLine="480" w:firstLineChars="200"/>
        <w:jc w:val="left"/>
        <w:rPr>
          <w:rFonts w:hint="eastAsia" w:cs="方正仿宋_GBK" w:asciiTheme="minorEastAsia" w:hAnsiTheme="minorEastAsia" w:eastAsiaTheme="minorEastAsia"/>
        </w:rPr>
      </w:pPr>
    </w:p>
    <w:p w14:paraId="46688B94">
      <w:pPr>
        <w:snapToGrid w:val="0"/>
        <w:spacing w:line="360" w:lineRule="auto"/>
        <w:ind w:firstLine="480" w:firstLineChars="200"/>
        <w:jc w:val="left"/>
        <w:rPr>
          <w:rFonts w:hint="eastAsia" w:cs="方正仿宋_GBK" w:asciiTheme="minorEastAsia" w:hAnsiTheme="minorEastAsia" w:eastAsiaTheme="minorEastAsia"/>
        </w:rPr>
      </w:pPr>
    </w:p>
    <w:p w14:paraId="634C644D">
      <w:pPr>
        <w:snapToGrid w:val="0"/>
        <w:spacing w:line="360" w:lineRule="auto"/>
        <w:ind w:firstLine="480" w:firstLineChars="200"/>
        <w:jc w:val="left"/>
        <w:rPr>
          <w:rFonts w:hint="eastAsia" w:cs="方正仿宋_GBK" w:asciiTheme="minorEastAsia" w:hAnsiTheme="minorEastAsia" w:eastAsiaTheme="minorEastAsia"/>
        </w:rPr>
      </w:pPr>
    </w:p>
    <w:p w14:paraId="1620D831">
      <w:pPr>
        <w:snapToGrid w:val="0"/>
        <w:spacing w:line="360" w:lineRule="auto"/>
        <w:ind w:firstLine="480" w:firstLineChars="200"/>
        <w:jc w:val="left"/>
        <w:rPr>
          <w:rFonts w:hint="eastAsia" w:cs="方正仿宋_GBK" w:asciiTheme="minorEastAsia" w:hAnsiTheme="minorEastAsia" w:eastAsiaTheme="minorEastAsia"/>
        </w:rPr>
      </w:pPr>
    </w:p>
    <w:p w14:paraId="2A9B4FAC">
      <w:pPr>
        <w:snapToGrid w:val="0"/>
        <w:spacing w:line="360" w:lineRule="auto"/>
        <w:ind w:firstLine="480" w:firstLineChars="200"/>
        <w:jc w:val="left"/>
        <w:rPr>
          <w:rFonts w:hint="eastAsia" w:cs="方正仿宋_GBK" w:asciiTheme="minorEastAsia" w:hAnsiTheme="minorEastAsia" w:eastAsiaTheme="minorEastAsia"/>
        </w:rPr>
      </w:pPr>
    </w:p>
    <w:p w14:paraId="0D16FE0B">
      <w:pPr>
        <w:snapToGrid w:val="0"/>
        <w:spacing w:line="360" w:lineRule="auto"/>
        <w:ind w:firstLine="480" w:firstLineChars="200"/>
        <w:jc w:val="left"/>
        <w:rPr>
          <w:rFonts w:hint="eastAsia" w:cs="方正仿宋_GBK" w:asciiTheme="minorEastAsia" w:hAnsiTheme="minorEastAsia" w:eastAsiaTheme="minorEastAsia"/>
        </w:rPr>
      </w:pPr>
    </w:p>
    <w:p w14:paraId="06EBEB82">
      <w:pPr>
        <w:snapToGrid w:val="0"/>
        <w:spacing w:line="360" w:lineRule="auto"/>
        <w:ind w:firstLine="480" w:firstLineChars="200"/>
        <w:jc w:val="left"/>
        <w:rPr>
          <w:rFonts w:hint="eastAsia" w:cs="方正仿宋_GBK" w:asciiTheme="minorEastAsia" w:hAnsiTheme="minorEastAsia" w:eastAsiaTheme="minorEastAsia"/>
        </w:rPr>
      </w:pPr>
    </w:p>
    <w:p w14:paraId="78E4911A">
      <w:pPr>
        <w:snapToGrid w:val="0"/>
        <w:spacing w:line="360" w:lineRule="auto"/>
        <w:ind w:firstLine="480" w:firstLineChars="200"/>
        <w:jc w:val="left"/>
        <w:rPr>
          <w:rFonts w:hint="eastAsia" w:cs="方正仿宋_GBK" w:asciiTheme="minorEastAsia" w:hAnsiTheme="minorEastAsia" w:eastAsiaTheme="minorEastAsia"/>
        </w:rPr>
      </w:pPr>
    </w:p>
    <w:p w14:paraId="395D6F40">
      <w:pPr>
        <w:snapToGrid w:val="0"/>
        <w:spacing w:line="360" w:lineRule="auto"/>
        <w:ind w:firstLine="480" w:firstLineChars="200"/>
        <w:jc w:val="left"/>
        <w:rPr>
          <w:rFonts w:hint="eastAsia" w:cs="方正仿宋_GBK" w:asciiTheme="minorEastAsia" w:hAnsiTheme="minorEastAsia" w:eastAsiaTheme="minorEastAsia"/>
        </w:rPr>
      </w:pPr>
    </w:p>
    <w:p w14:paraId="408294E2">
      <w:pPr>
        <w:snapToGrid w:val="0"/>
        <w:spacing w:line="360" w:lineRule="auto"/>
        <w:ind w:firstLine="480" w:firstLineChars="200"/>
        <w:jc w:val="left"/>
        <w:rPr>
          <w:rFonts w:hint="eastAsia" w:cs="方正仿宋_GBK" w:asciiTheme="minorEastAsia" w:hAnsiTheme="minorEastAsia" w:eastAsiaTheme="minorEastAsia"/>
        </w:rPr>
      </w:pPr>
    </w:p>
    <w:p w14:paraId="02548E94">
      <w:pPr>
        <w:snapToGrid w:val="0"/>
        <w:spacing w:line="360" w:lineRule="auto"/>
        <w:ind w:firstLine="480" w:firstLineChars="200"/>
        <w:jc w:val="left"/>
        <w:rPr>
          <w:rFonts w:hint="eastAsia" w:cs="方正仿宋_GBK" w:asciiTheme="minorEastAsia" w:hAnsiTheme="minorEastAsia" w:eastAsiaTheme="minorEastAsia"/>
        </w:rPr>
      </w:pPr>
    </w:p>
    <w:p w14:paraId="2C682516">
      <w:pPr>
        <w:snapToGrid w:val="0"/>
        <w:spacing w:line="360" w:lineRule="auto"/>
        <w:ind w:firstLine="480" w:firstLineChars="200"/>
        <w:jc w:val="left"/>
        <w:rPr>
          <w:rFonts w:hint="eastAsia" w:cs="方正仿宋_GBK" w:asciiTheme="minorEastAsia" w:hAnsiTheme="minorEastAsia" w:eastAsiaTheme="minorEastAsia"/>
        </w:rPr>
      </w:pPr>
    </w:p>
    <w:p w14:paraId="22E0F122">
      <w:pPr>
        <w:snapToGrid w:val="0"/>
        <w:spacing w:line="360" w:lineRule="auto"/>
        <w:ind w:firstLine="480" w:firstLineChars="200"/>
        <w:jc w:val="left"/>
        <w:rPr>
          <w:rFonts w:hint="eastAsia" w:cs="方正仿宋_GBK" w:asciiTheme="minorEastAsia" w:hAnsiTheme="minorEastAsia" w:eastAsiaTheme="minorEastAsia"/>
        </w:rPr>
      </w:pPr>
    </w:p>
    <w:p w14:paraId="35278008">
      <w:pPr>
        <w:snapToGrid w:val="0"/>
        <w:spacing w:line="360" w:lineRule="auto"/>
        <w:ind w:firstLine="480" w:firstLineChars="200"/>
        <w:jc w:val="left"/>
        <w:rPr>
          <w:rFonts w:hint="eastAsia" w:cs="方正仿宋_GBK" w:asciiTheme="minorEastAsia" w:hAnsiTheme="minorEastAsia" w:eastAsiaTheme="minorEastAsia"/>
        </w:rPr>
      </w:pPr>
    </w:p>
    <w:p w14:paraId="7FF1FC13">
      <w:pPr>
        <w:snapToGrid w:val="0"/>
        <w:spacing w:line="360" w:lineRule="auto"/>
        <w:ind w:firstLine="480" w:firstLineChars="200"/>
        <w:jc w:val="left"/>
        <w:rPr>
          <w:rFonts w:hint="eastAsia" w:cs="方正仿宋_GBK" w:asciiTheme="minorEastAsia" w:hAnsiTheme="minorEastAsia" w:eastAsiaTheme="minorEastAsia"/>
        </w:rPr>
      </w:pPr>
    </w:p>
    <w:p w14:paraId="15DAD23E">
      <w:pPr>
        <w:snapToGrid w:val="0"/>
        <w:spacing w:line="360" w:lineRule="auto"/>
        <w:ind w:firstLine="480" w:firstLineChars="200"/>
        <w:jc w:val="left"/>
        <w:rPr>
          <w:rFonts w:hint="eastAsia" w:cs="方正仿宋_GBK" w:asciiTheme="minorEastAsia" w:hAnsiTheme="minorEastAsia" w:eastAsiaTheme="minorEastAsia"/>
        </w:rPr>
      </w:pPr>
    </w:p>
    <w:p w14:paraId="0776E802">
      <w:pPr>
        <w:snapToGrid w:val="0"/>
        <w:spacing w:line="360" w:lineRule="auto"/>
        <w:ind w:firstLine="480" w:firstLineChars="200"/>
        <w:jc w:val="left"/>
        <w:rPr>
          <w:rFonts w:hint="eastAsia" w:cs="方正仿宋_GBK" w:asciiTheme="minorEastAsia" w:hAnsiTheme="minorEastAsia" w:eastAsiaTheme="minorEastAsia"/>
        </w:rPr>
      </w:pPr>
    </w:p>
    <w:p w14:paraId="5269AF93">
      <w:pPr>
        <w:tabs>
          <w:tab w:val="left" w:pos="6300"/>
        </w:tabs>
        <w:snapToGrid w:val="0"/>
        <w:spacing w:line="500" w:lineRule="exact"/>
        <w:jc w:val="center"/>
        <w:outlineLvl w:val="0"/>
        <w:rPr>
          <w:rFonts w:ascii="Times New Roman" w:hAnsi="Times New Roman" w:eastAsia="方正仿宋_GBK" w:cs="Times New Roman"/>
          <w:sz w:val="28"/>
          <w:szCs w:val="28"/>
        </w:rPr>
      </w:pPr>
      <w:r>
        <w:rPr>
          <w:rFonts w:hint="eastAsia" w:cs="方正仿宋_GBK" w:asciiTheme="minorEastAsia" w:hAnsiTheme="minorEastAsia" w:eastAsiaTheme="minorEastAsia"/>
        </w:rPr>
        <w:t>（结束）</w:t>
      </w:r>
    </w:p>
    <w:p w14:paraId="33F0105C">
      <w:pPr>
        <w:adjustRightInd w:val="0"/>
        <w:spacing w:line="480" w:lineRule="auto"/>
        <w:jc w:val="left"/>
        <w:rPr>
          <w:rFonts w:ascii="Times New Roman" w:hAnsi="Times New Roman" w:eastAsia="方正仿宋_GBK" w:cs="Times New Roman"/>
          <w:sz w:val="28"/>
          <w:szCs w:val="28"/>
        </w:rPr>
      </w:pPr>
    </w:p>
    <w:p w14:paraId="03340494">
      <w:pPr>
        <w:adjustRightInd w:val="0"/>
        <w:spacing w:line="480" w:lineRule="auto"/>
        <w:jc w:val="left"/>
        <w:rPr>
          <w:rFonts w:ascii="Times New Roman" w:hAnsi="Times New Roman" w:eastAsia="方正仿宋_GBK" w:cs="Times New Roman"/>
          <w:sz w:val="28"/>
          <w:szCs w:val="28"/>
        </w:rPr>
      </w:pPr>
    </w:p>
    <w:sectPr>
      <w:pgSz w:w="11906" w:h="16838"/>
      <w:pgMar w:top="1440" w:right="1841" w:bottom="1440" w:left="1800"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778A9A36-DD0E-404A-AECF-63D2884A520A}"/>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ヒラギノ角ゴ Pro W3">
    <w:altName w:val="MS Gothic"/>
    <w:panose1 w:val="00000000000000000000"/>
    <w:charset w:val="4E"/>
    <w:family w:val="auto"/>
    <w:pitch w:val="default"/>
    <w:sig w:usb0="00000000" w:usb1="00000000" w:usb2="00000012" w:usb3="00000000" w:csb0="0002000D" w:csb1="00000000"/>
  </w:font>
  <w:font w:name="MS Gothic">
    <w:panose1 w:val="020B0609070205080204"/>
    <w:charset w:val="80"/>
    <w:family w:val="auto"/>
    <w:pitch w:val="default"/>
    <w:sig w:usb0="E00002FF" w:usb1="6AC7FDFB" w:usb2="00000012" w:usb3="00000000" w:csb0="4002009F" w:csb1="DFD7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embedRegular r:id="rId2" w:fontKey="{770C1ADF-D6F0-4425-BE2B-B068E33519FA}"/>
  </w:font>
  <w:font w:name="方正小标宋_GBK">
    <w:panose1 w:val="03000509000000000000"/>
    <w:charset w:val="86"/>
    <w:family w:val="script"/>
    <w:pitch w:val="default"/>
    <w:sig w:usb0="00000001" w:usb1="080E0000" w:usb2="00000000" w:usb3="00000000" w:csb0="00040000" w:csb1="00000000"/>
    <w:embedRegular r:id="rId3" w:fontKey="{B5883353-D1B9-4999-BE0F-29D112FD6A45}"/>
  </w:font>
  <w:font w:name="方正仿宋_GBK">
    <w:panose1 w:val="03000509000000000000"/>
    <w:charset w:val="86"/>
    <w:family w:val="script"/>
    <w:pitch w:val="default"/>
    <w:sig w:usb0="00000001" w:usb1="080E0000" w:usb2="00000000" w:usb3="00000000" w:csb0="00040000" w:csb1="00000000"/>
    <w:embedRegular r:id="rId4" w:fontKey="{529D5283-F59F-4DD6-86FD-CE7A9254D97B}"/>
  </w:font>
  <w:font w:name="方正楷体_GBK">
    <w:panose1 w:val="03000509000000000000"/>
    <w:charset w:val="86"/>
    <w:family w:val="script"/>
    <w:pitch w:val="default"/>
    <w:sig w:usb0="00000001" w:usb1="080E0000" w:usb2="00000000" w:usb3="00000000" w:csb0="00040000" w:csb1="00000000"/>
    <w:embedRegular r:id="rId5" w:fontKey="{9EC79F03-C1E1-49DF-9460-5135915F9C6D}"/>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701804"/>
    </w:sdtPr>
    <w:sdtContent>
      <w:p w14:paraId="6C82F061">
        <w:pPr>
          <w:pStyle w:val="28"/>
          <w:jc w:val="center"/>
        </w:pPr>
        <w:r>
          <w:fldChar w:fldCharType="begin"/>
        </w:r>
        <w:r>
          <w:instrText xml:space="preserve">PAGE   \* MERGEFORMAT</w:instrText>
        </w:r>
        <w:r>
          <w:fldChar w:fldCharType="separate"/>
        </w:r>
        <w:r>
          <w:rPr>
            <w:lang w:val="zh-CN"/>
          </w:rPr>
          <w:t>25</w:t>
        </w:r>
        <w:r>
          <w:rPr>
            <w:lang w:val="zh-CN"/>
          </w:rPr>
          <w:fldChar w:fldCharType="end"/>
        </w:r>
      </w:p>
    </w:sdtContent>
  </w:sdt>
  <w:p w14:paraId="764CA53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2C03">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9823F"/>
    <w:multiLevelType w:val="singleLevel"/>
    <w:tmpl w:val="B319823F"/>
    <w:lvl w:ilvl="0" w:tentative="0">
      <w:start w:val="2"/>
      <w:numFmt w:val="chineseCounting"/>
      <w:suff w:val="nothing"/>
      <w:lvlText w:val="%1、"/>
      <w:lvlJc w:val="left"/>
      <w:rPr>
        <w:rFonts w:hint="eastAsia"/>
        <w:b/>
        <w:bCs/>
        <w:color w:val="auto"/>
      </w:rPr>
    </w:lvl>
  </w:abstractNum>
  <w:abstractNum w:abstractNumId="1">
    <w:nsid w:val="B8800FF6"/>
    <w:multiLevelType w:val="singleLevel"/>
    <w:tmpl w:val="B8800FF6"/>
    <w:lvl w:ilvl="0" w:tentative="0">
      <w:start w:val="1"/>
      <w:numFmt w:val="chineseCounting"/>
      <w:suff w:val="nothing"/>
      <w:lvlText w:val="%1、"/>
      <w:lvlJc w:val="left"/>
      <w:rPr>
        <w:rFonts w:hint="eastAsia"/>
      </w:rPr>
    </w:lvl>
  </w:abstractNum>
  <w:abstractNum w:abstractNumId="2">
    <w:nsid w:val="DB506C6F"/>
    <w:multiLevelType w:val="singleLevel"/>
    <w:tmpl w:val="DB506C6F"/>
    <w:lvl w:ilvl="0" w:tentative="0">
      <w:start w:val="4"/>
      <w:numFmt w:val="decimal"/>
      <w:suff w:val="space"/>
      <w:lvlText w:val="%1."/>
      <w:lvlJc w:val="left"/>
    </w:lvl>
  </w:abstractNum>
  <w:abstractNum w:abstractNumId="3">
    <w:nsid w:val="E6826807"/>
    <w:multiLevelType w:val="singleLevel"/>
    <w:tmpl w:val="E6826807"/>
    <w:lvl w:ilvl="0" w:tentative="0">
      <w:start w:val="12"/>
      <w:numFmt w:val="chineseCounting"/>
      <w:suff w:val="nothing"/>
      <w:lvlText w:val="%1、"/>
      <w:lvlJc w:val="left"/>
      <w:rPr>
        <w:rFonts w:hint="eastAsia"/>
      </w:rPr>
    </w:lvl>
  </w:abstractNum>
  <w:abstractNum w:abstractNumId="4">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5">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6">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7">
    <w:nsid w:val="301A05FF"/>
    <w:multiLevelType w:val="singleLevel"/>
    <w:tmpl w:val="301A05FF"/>
    <w:lvl w:ilvl="0" w:tentative="0">
      <w:start w:val="1"/>
      <w:numFmt w:val="decimal"/>
      <w:lvlText w:val="%1."/>
      <w:lvlJc w:val="left"/>
      <w:pPr>
        <w:tabs>
          <w:tab w:val="left" w:pos="312"/>
        </w:tabs>
      </w:pPr>
    </w:lvl>
  </w:abstractNum>
  <w:abstractNum w:abstractNumId="8">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6DDD6D2E"/>
    <w:multiLevelType w:val="singleLevel"/>
    <w:tmpl w:val="6DDD6D2E"/>
    <w:lvl w:ilvl="0" w:tentative="0">
      <w:start w:val="1"/>
      <w:numFmt w:val="decimal"/>
      <w:suff w:val="nothing"/>
      <w:lvlText w:val="（%1）"/>
      <w:lvlJc w:val="left"/>
    </w:lvl>
  </w:abstractNum>
  <w:abstractNum w:abstractNumId="11">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13">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4">
    <w:nsid w:val="76DB1815"/>
    <w:multiLevelType w:val="singleLevel"/>
    <w:tmpl w:val="76DB1815"/>
    <w:lvl w:ilvl="0" w:tentative="0">
      <w:start w:val="6"/>
      <w:numFmt w:val="chineseCounting"/>
      <w:suff w:val="nothing"/>
      <w:lvlText w:val="%1、"/>
      <w:lvlJc w:val="left"/>
      <w:rPr>
        <w:rFonts w:hint="eastAsia"/>
      </w:rPr>
    </w:lvl>
  </w:abstractNum>
  <w:abstractNum w:abstractNumId="15">
    <w:nsid w:val="77CAEE95"/>
    <w:multiLevelType w:val="singleLevel"/>
    <w:tmpl w:val="77CAEE95"/>
    <w:lvl w:ilvl="0" w:tentative="0">
      <w:start w:val="6"/>
      <w:numFmt w:val="decimal"/>
      <w:suff w:val="nothing"/>
      <w:lvlText w:val="%1．"/>
      <w:lvlJc w:val="left"/>
    </w:lvl>
  </w:abstractNum>
  <w:abstractNum w:abstractNumId="16">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4"/>
  </w:num>
  <w:num w:numId="4">
    <w:abstractNumId w:val="11"/>
  </w:num>
  <w:num w:numId="5">
    <w:abstractNumId w:val="13"/>
  </w:num>
  <w:num w:numId="6">
    <w:abstractNumId w:val="9"/>
  </w:num>
  <w:num w:numId="7">
    <w:abstractNumId w:val="12"/>
  </w:num>
  <w:num w:numId="8">
    <w:abstractNumId w:val="8"/>
  </w:num>
  <w:num w:numId="9">
    <w:abstractNumId w:val="16"/>
  </w:num>
  <w:num w:numId="10">
    <w:abstractNumId w:val="0"/>
  </w:num>
  <w:num w:numId="11">
    <w:abstractNumId w:val="15"/>
  </w:num>
  <w:num w:numId="12">
    <w:abstractNumId w:val="7"/>
  </w:num>
  <w:num w:numId="13">
    <w:abstractNumId w:val="1"/>
  </w:num>
  <w:num w:numId="14">
    <w:abstractNumId w:val="10"/>
  </w:num>
  <w:num w:numId="15">
    <w:abstractNumId w:val="2"/>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01B3"/>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71F"/>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347F"/>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AF"/>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29CA"/>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069E"/>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3435B5"/>
    <w:rsid w:val="014C4089"/>
    <w:rsid w:val="015754F6"/>
    <w:rsid w:val="01712C59"/>
    <w:rsid w:val="019224BE"/>
    <w:rsid w:val="01AC4BD0"/>
    <w:rsid w:val="02454DC9"/>
    <w:rsid w:val="02910324"/>
    <w:rsid w:val="02C646E1"/>
    <w:rsid w:val="02DB4857"/>
    <w:rsid w:val="032B0404"/>
    <w:rsid w:val="033B2D46"/>
    <w:rsid w:val="03541CED"/>
    <w:rsid w:val="0367592F"/>
    <w:rsid w:val="0373490A"/>
    <w:rsid w:val="037C1244"/>
    <w:rsid w:val="037D6E4A"/>
    <w:rsid w:val="040D6D19"/>
    <w:rsid w:val="045A67DF"/>
    <w:rsid w:val="045D2E23"/>
    <w:rsid w:val="04612981"/>
    <w:rsid w:val="04617C78"/>
    <w:rsid w:val="0492290C"/>
    <w:rsid w:val="04973A9F"/>
    <w:rsid w:val="04EA03AB"/>
    <w:rsid w:val="04F548E2"/>
    <w:rsid w:val="053E6976"/>
    <w:rsid w:val="054E5375"/>
    <w:rsid w:val="066E7405"/>
    <w:rsid w:val="06862B05"/>
    <w:rsid w:val="06BB7499"/>
    <w:rsid w:val="072A4BA6"/>
    <w:rsid w:val="078C5B91"/>
    <w:rsid w:val="07CC0BA8"/>
    <w:rsid w:val="07FE6B2C"/>
    <w:rsid w:val="07FF48C8"/>
    <w:rsid w:val="081D7E86"/>
    <w:rsid w:val="08610CD7"/>
    <w:rsid w:val="088C034D"/>
    <w:rsid w:val="08AA0E57"/>
    <w:rsid w:val="08AC078D"/>
    <w:rsid w:val="08B421A7"/>
    <w:rsid w:val="09004AA0"/>
    <w:rsid w:val="09141EC9"/>
    <w:rsid w:val="091B157F"/>
    <w:rsid w:val="091F2D9D"/>
    <w:rsid w:val="092B7785"/>
    <w:rsid w:val="0948190B"/>
    <w:rsid w:val="0993037E"/>
    <w:rsid w:val="0A872E9B"/>
    <w:rsid w:val="0AA870F7"/>
    <w:rsid w:val="0AB319EF"/>
    <w:rsid w:val="0ABB32B3"/>
    <w:rsid w:val="0AF6127C"/>
    <w:rsid w:val="0B261DB7"/>
    <w:rsid w:val="0B7962BE"/>
    <w:rsid w:val="0C105DFF"/>
    <w:rsid w:val="0C684A5B"/>
    <w:rsid w:val="0CB5287D"/>
    <w:rsid w:val="0CBD4ADC"/>
    <w:rsid w:val="0CCA3020"/>
    <w:rsid w:val="0CFC317C"/>
    <w:rsid w:val="0D0447AC"/>
    <w:rsid w:val="0DD15691"/>
    <w:rsid w:val="0E4B0A3C"/>
    <w:rsid w:val="0E6275D1"/>
    <w:rsid w:val="0EB46E08"/>
    <w:rsid w:val="0EC64E38"/>
    <w:rsid w:val="0EEC1973"/>
    <w:rsid w:val="0EFF2FF5"/>
    <w:rsid w:val="0F264FE7"/>
    <w:rsid w:val="0F3946C8"/>
    <w:rsid w:val="0F621390"/>
    <w:rsid w:val="0FAC7325"/>
    <w:rsid w:val="0FE35EA0"/>
    <w:rsid w:val="0FEB079C"/>
    <w:rsid w:val="0FFA2218"/>
    <w:rsid w:val="10EF4D6C"/>
    <w:rsid w:val="11367AC0"/>
    <w:rsid w:val="11660D9C"/>
    <w:rsid w:val="118D1664"/>
    <w:rsid w:val="119B58FC"/>
    <w:rsid w:val="11A101D6"/>
    <w:rsid w:val="11B06C17"/>
    <w:rsid w:val="11B83C77"/>
    <w:rsid w:val="120D6082"/>
    <w:rsid w:val="122711D7"/>
    <w:rsid w:val="1230330D"/>
    <w:rsid w:val="12B50068"/>
    <w:rsid w:val="12CA37D0"/>
    <w:rsid w:val="12F23895"/>
    <w:rsid w:val="139D752A"/>
    <w:rsid w:val="13F526AA"/>
    <w:rsid w:val="142152D6"/>
    <w:rsid w:val="14845F34"/>
    <w:rsid w:val="14CB5D17"/>
    <w:rsid w:val="14DF5063"/>
    <w:rsid w:val="15373CF1"/>
    <w:rsid w:val="15880C4C"/>
    <w:rsid w:val="15AC7766"/>
    <w:rsid w:val="15AE4939"/>
    <w:rsid w:val="15CC719F"/>
    <w:rsid w:val="169B3D10"/>
    <w:rsid w:val="16A101B8"/>
    <w:rsid w:val="16A7036B"/>
    <w:rsid w:val="16AC344E"/>
    <w:rsid w:val="16C07B0A"/>
    <w:rsid w:val="16E56401"/>
    <w:rsid w:val="16ED0899"/>
    <w:rsid w:val="170532D4"/>
    <w:rsid w:val="172604C7"/>
    <w:rsid w:val="1731523F"/>
    <w:rsid w:val="17EA65DF"/>
    <w:rsid w:val="18003D99"/>
    <w:rsid w:val="18287181"/>
    <w:rsid w:val="18FA065B"/>
    <w:rsid w:val="192D615C"/>
    <w:rsid w:val="19553A9D"/>
    <w:rsid w:val="195F3547"/>
    <w:rsid w:val="19826FA5"/>
    <w:rsid w:val="19877AF0"/>
    <w:rsid w:val="19D40DC3"/>
    <w:rsid w:val="19E71F68"/>
    <w:rsid w:val="1A287223"/>
    <w:rsid w:val="1B393673"/>
    <w:rsid w:val="1C3243D6"/>
    <w:rsid w:val="1C5F6EAA"/>
    <w:rsid w:val="1C6F4FB4"/>
    <w:rsid w:val="1C733AAB"/>
    <w:rsid w:val="1CC45CDD"/>
    <w:rsid w:val="1CCB791D"/>
    <w:rsid w:val="1CD22F7D"/>
    <w:rsid w:val="1D1735EF"/>
    <w:rsid w:val="1D250E6F"/>
    <w:rsid w:val="1D6F55A4"/>
    <w:rsid w:val="1DEE0CA9"/>
    <w:rsid w:val="1DF20628"/>
    <w:rsid w:val="1E2D620F"/>
    <w:rsid w:val="1E567848"/>
    <w:rsid w:val="1EBF50DB"/>
    <w:rsid w:val="1ED4425A"/>
    <w:rsid w:val="1EDC7F1C"/>
    <w:rsid w:val="1F011828"/>
    <w:rsid w:val="204C132C"/>
    <w:rsid w:val="20644D04"/>
    <w:rsid w:val="20D64653"/>
    <w:rsid w:val="20EE1616"/>
    <w:rsid w:val="21120767"/>
    <w:rsid w:val="212E2504"/>
    <w:rsid w:val="214B0C07"/>
    <w:rsid w:val="216A67F7"/>
    <w:rsid w:val="219963E6"/>
    <w:rsid w:val="21D302A6"/>
    <w:rsid w:val="21EE0F80"/>
    <w:rsid w:val="23706EEF"/>
    <w:rsid w:val="23CF4666"/>
    <w:rsid w:val="245231DD"/>
    <w:rsid w:val="246B066E"/>
    <w:rsid w:val="24A314E5"/>
    <w:rsid w:val="25315A92"/>
    <w:rsid w:val="25485B4A"/>
    <w:rsid w:val="257411BF"/>
    <w:rsid w:val="25864D84"/>
    <w:rsid w:val="25D668B0"/>
    <w:rsid w:val="260F1BFD"/>
    <w:rsid w:val="26421E20"/>
    <w:rsid w:val="264D746E"/>
    <w:rsid w:val="26875236"/>
    <w:rsid w:val="268B18B9"/>
    <w:rsid w:val="26942845"/>
    <w:rsid w:val="26A5092E"/>
    <w:rsid w:val="26AB55C9"/>
    <w:rsid w:val="26AB5818"/>
    <w:rsid w:val="26D24169"/>
    <w:rsid w:val="2782748C"/>
    <w:rsid w:val="27977369"/>
    <w:rsid w:val="27AB2C9A"/>
    <w:rsid w:val="28603F2A"/>
    <w:rsid w:val="287B7E23"/>
    <w:rsid w:val="28812A39"/>
    <w:rsid w:val="28943942"/>
    <w:rsid w:val="291C5BFE"/>
    <w:rsid w:val="29382A6B"/>
    <w:rsid w:val="2955110C"/>
    <w:rsid w:val="295A23FC"/>
    <w:rsid w:val="29626662"/>
    <w:rsid w:val="29816E87"/>
    <w:rsid w:val="2A3113C8"/>
    <w:rsid w:val="2A446C83"/>
    <w:rsid w:val="2A8617FE"/>
    <w:rsid w:val="2AB9225B"/>
    <w:rsid w:val="2B4464C7"/>
    <w:rsid w:val="2B590203"/>
    <w:rsid w:val="2B6B0F7F"/>
    <w:rsid w:val="2B794137"/>
    <w:rsid w:val="2B9B099A"/>
    <w:rsid w:val="2BD851A9"/>
    <w:rsid w:val="2C130D6C"/>
    <w:rsid w:val="2C225C6C"/>
    <w:rsid w:val="2C7831FE"/>
    <w:rsid w:val="2C8F0EA7"/>
    <w:rsid w:val="2CAD66F4"/>
    <w:rsid w:val="2D125A4C"/>
    <w:rsid w:val="2D5609E8"/>
    <w:rsid w:val="2E0E10F4"/>
    <w:rsid w:val="2E1555FA"/>
    <w:rsid w:val="2E335172"/>
    <w:rsid w:val="2EF771DC"/>
    <w:rsid w:val="2F377CAB"/>
    <w:rsid w:val="2F7215C9"/>
    <w:rsid w:val="2F753598"/>
    <w:rsid w:val="2FB9486F"/>
    <w:rsid w:val="2FCC5E07"/>
    <w:rsid w:val="2FF545D5"/>
    <w:rsid w:val="30247B0A"/>
    <w:rsid w:val="307B4D26"/>
    <w:rsid w:val="30A11FD0"/>
    <w:rsid w:val="3146027D"/>
    <w:rsid w:val="31462830"/>
    <w:rsid w:val="31492649"/>
    <w:rsid w:val="317D7A4B"/>
    <w:rsid w:val="319966F0"/>
    <w:rsid w:val="32863A70"/>
    <w:rsid w:val="328E2276"/>
    <w:rsid w:val="333F5C66"/>
    <w:rsid w:val="33526965"/>
    <w:rsid w:val="33825FA4"/>
    <w:rsid w:val="33DB773D"/>
    <w:rsid w:val="346A2735"/>
    <w:rsid w:val="34820207"/>
    <w:rsid w:val="349F49A1"/>
    <w:rsid w:val="34AA5361"/>
    <w:rsid w:val="34D7553F"/>
    <w:rsid w:val="34F622B8"/>
    <w:rsid w:val="34FC3E0F"/>
    <w:rsid w:val="3536335A"/>
    <w:rsid w:val="357B6085"/>
    <w:rsid w:val="35AC7A31"/>
    <w:rsid w:val="35DE1766"/>
    <w:rsid w:val="3600333F"/>
    <w:rsid w:val="360B0081"/>
    <w:rsid w:val="367C2ED7"/>
    <w:rsid w:val="36C53D8A"/>
    <w:rsid w:val="36DC78E2"/>
    <w:rsid w:val="370954F8"/>
    <w:rsid w:val="373C7A9C"/>
    <w:rsid w:val="37416EB1"/>
    <w:rsid w:val="37512FB8"/>
    <w:rsid w:val="376914BD"/>
    <w:rsid w:val="377D7D51"/>
    <w:rsid w:val="37CD35DE"/>
    <w:rsid w:val="38232AA8"/>
    <w:rsid w:val="3860608E"/>
    <w:rsid w:val="389D3187"/>
    <w:rsid w:val="38B91C49"/>
    <w:rsid w:val="39150919"/>
    <w:rsid w:val="393101EE"/>
    <w:rsid w:val="397D27F8"/>
    <w:rsid w:val="3984451E"/>
    <w:rsid w:val="39E958BC"/>
    <w:rsid w:val="39F84A46"/>
    <w:rsid w:val="3A366C90"/>
    <w:rsid w:val="3A50783A"/>
    <w:rsid w:val="3AD2717E"/>
    <w:rsid w:val="3AE8792A"/>
    <w:rsid w:val="3B337E5E"/>
    <w:rsid w:val="3B4C6B7D"/>
    <w:rsid w:val="3B861D7B"/>
    <w:rsid w:val="3C580635"/>
    <w:rsid w:val="3C896EB4"/>
    <w:rsid w:val="3CC50F8A"/>
    <w:rsid w:val="3CF26E83"/>
    <w:rsid w:val="3D7E3DFD"/>
    <w:rsid w:val="3DDC1B4E"/>
    <w:rsid w:val="3DE624D4"/>
    <w:rsid w:val="3E684EAD"/>
    <w:rsid w:val="3E6E56EE"/>
    <w:rsid w:val="3E831250"/>
    <w:rsid w:val="3EAF2D25"/>
    <w:rsid w:val="3EBD538E"/>
    <w:rsid w:val="3F221C11"/>
    <w:rsid w:val="3F3F3186"/>
    <w:rsid w:val="3FF57DD8"/>
    <w:rsid w:val="400A4965"/>
    <w:rsid w:val="40291362"/>
    <w:rsid w:val="40B35F3C"/>
    <w:rsid w:val="41492569"/>
    <w:rsid w:val="41B06152"/>
    <w:rsid w:val="41CF1774"/>
    <w:rsid w:val="41E166A7"/>
    <w:rsid w:val="421F0E45"/>
    <w:rsid w:val="42833F2C"/>
    <w:rsid w:val="42A34959"/>
    <w:rsid w:val="42AB29D0"/>
    <w:rsid w:val="42D515E8"/>
    <w:rsid w:val="432568B4"/>
    <w:rsid w:val="436617E4"/>
    <w:rsid w:val="43C5363E"/>
    <w:rsid w:val="43F0266D"/>
    <w:rsid w:val="441B5933"/>
    <w:rsid w:val="444B7A53"/>
    <w:rsid w:val="44562207"/>
    <w:rsid w:val="44EF3FD1"/>
    <w:rsid w:val="452D5DB8"/>
    <w:rsid w:val="4534045C"/>
    <w:rsid w:val="45352A25"/>
    <w:rsid w:val="455E66B8"/>
    <w:rsid w:val="4561108D"/>
    <w:rsid w:val="458F0387"/>
    <w:rsid w:val="460F3D97"/>
    <w:rsid w:val="46157C7E"/>
    <w:rsid w:val="461F17AF"/>
    <w:rsid w:val="46707362"/>
    <w:rsid w:val="469F3F08"/>
    <w:rsid w:val="46BB7578"/>
    <w:rsid w:val="46E35B3D"/>
    <w:rsid w:val="46E53E93"/>
    <w:rsid w:val="46E6047B"/>
    <w:rsid w:val="47525687"/>
    <w:rsid w:val="47A32C15"/>
    <w:rsid w:val="47D33EDA"/>
    <w:rsid w:val="47F55DE4"/>
    <w:rsid w:val="47FC5A7C"/>
    <w:rsid w:val="48010ED3"/>
    <w:rsid w:val="48514DA6"/>
    <w:rsid w:val="48CA33FC"/>
    <w:rsid w:val="48E66C23"/>
    <w:rsid w:val="48F31859"/>
    <w:rsid w:val="49316623"/>
    <w:rsid w:val="494372C0"/>
    <w:rsid w:val="495532BE"/>
    <w:rsid w:val="4A091CE5"/>
    <w:rsid w:val="4A99106D"/>
    <w:rsid w:val="4AC839B1"/>
    <w:rsid w:val="4B8A23E0"/>
    <w:rsid w:val="4BCE2162"/>
    <w:rsid w:val="4BE909E0"/>
    <w:rsid w:val="4BEF1B80"/>
    <w:rsid w:val="4BF7143F"/>
    <w:rsid w:val="4BFF39E8"/>
    <w:rsid w:val="4C290139"/>
    <w:rsid w:val="4C4C1669"/>
    <w:rsid w:val="4C7F6D10"/>
    <w:rsid w:val="4CC2524A"/>
    <w:rsid w:val="4CFE5DCC"/>
    <w:rsid w:val="4D293DEA"/>
    <w:rsid w:val="4DD83BCC"/>
    <w:rsid w:val="4DDE1EAC"/>
    <w:rsid w:val="4DFF1E22"/>
    <w:rsid w:val="4E5D3917"/>
    <w:rsid w:val="4F1C3489"/>
    <w:rsid w:val="4F5C41F1"/>
    <w:rsid w:val="4F9F02E7"/>
    <w:rsid w:val="50195C4C"/>
    <w:rsid w:val="51326756"/>
    <w:rsid w:val="518976D2"/>
    <w:rsid w:val="522E5111"/>
    <w:rsid w:val="525608BB"/>
    <w:rsid w:val="52935EE2"/>
    <w:rsid w:val="52A674AC"/>
    <w:rsid w:val="52B5636A"/>
    <w:rsid w:val="52C84ED8"/>
    <w:rsid w:val="53072D70"/>
    <w:rsid w:val="53594140"/>
    <w:rsid w:val="53E013D3"/>
    <w:rsid w:val="53F01D34"/>
    <w:rsid w:val="54070921"/>
    <w:rsid w:val="54166BC3"/>
    <w:rsid w:val="541A3E14"/>
    <w:rsid w:val="546D3EBE"/>
    <w:rsid w:val="547E7F44"/>
    <w:rsid w:val="54955781"/>
    <w:rsid w:val="54A203AA"/>
    <w:rsid w:val="54B61F5D"/>
    <w:rsid w:val="54BE2A37"/>
    <w:rsid w:val="551F5FB4"/>
    <w:rsid w:val="55AA1478"/>
    <w:rsid w:val="55CC2F32"/>
    <w:rsid w:val="55D15107"/>
    <w:rsid w:val="56497D05"/>
    <w:rsid w:val="5651762B"/>
    <w:rsid w:val="568630E0"/>
    <w:rsid w:val="57065AF4"/>
    <w:rsid w:val="570A56DD"/>
    <w:rsid w:val="57730905"/>
    <w:rsid w:val="57783371"/>
    <w:rsid w:val="57A06543"/>
    <w:rsid w:val="57C70B78"/>
    <w:rsid w:val="581B4D4D"/>
    <w:rsid w:val="58457272"/>
    <w:rsid w:val="5849408F"/>
    <w:rsid w:val="58900246"/>
    <w:rsid w:val="58A14A23"/>
    <w:rsid w:val="58A609DF"/>
    <w:rsid w:val="58CB7923"/>
    <w:rsid w:val="58FF660A"/>
    <w:rsid w:val="593A7C4F"/>
    <w:rsid w:val="594352B9"/>
    <w:rsid w:val="599810F5"/>
    <w:rsid w:val="59A1101C"/>
    <w:rsid w:val="59AF248B"/>
    <w:rsid w:val="59F111B9"/>
    <w:rsid w:val="59F94937"/>
    <w:rsid w:val="5A1455BF"/>
    <w:rsid w:val="5A15432B"/>
    <w:rsid w:val="5A1D1EFC"/>
    <w:rsid w:val="5AC95DC1"/>
    <w:rsid w:val="5AD26541"/>
    <w:rsid w:val="5ADA6DD0"/>
    <w:rsid w:val="5ADE3149"/>
    <w:rsid w:val="5AEF067F"/>
    <w:rsid w:val="5B2556A2"/>
    <w:rsid w:val="5B9444F1"/>
    <w:rsid w:val="5BC052E6"/>
    <w:rsid w:val="5BF85296"/>
    <w:rsid w:val="5C024D2D"/>
    <w:rsid w:val="5C2E04A2"/>
    <w:rsid w:val="5C4972A2"/>
    <w:rsid w:val="5C8639DD"/>
    <w:rsid w:val="5CD458C9"/>
    <w:rsid w:val="5CD901EE"/>
    <w:rsid w:val="5CF05F2A"/>
    <w:rsid w:val="5D054DA9"/>
    <w:rsid w:val="5D2D6E3D"/>
    <w:rsid w:val="5D8F1BE6"/>
    <w:rsid w:val="5DA724B1"/>
    <w:rsid w:val="5DAA5AF3"/>
    <w:rsid w:val="5E281102"/>
    <w:rsid w:val="5F7D08E4"/>
    <w:rsid w:val="5FAB005C"/>
    <w:rsid w:val="5FE07B70"/>
    <w:rsid w:val="603879BD"/>
    <w:rsid w:val="606B6E69"/>
    <w:rsid w:val="607034DD"/>
    <w:rsid w:val="60912DAE"/>
    <w:rsid w:val="60944A0B"/>
    <w:rsid w:val="60AC578B"/>
    <w:rsid w:val="60D41974"/>
    <w:rsid w:val="612D083D"/>
    <w:rsid w:val="6154366A"/>
    <w:rsid w:val="617200A8"/>
    <w:rsid w:val="61B85B0B"/>
    <w:rsid w:val="61CD059E"/>
    <w:rsid w:val="61EB0605"/>
    <w:rsid w:val="627C0528"/>
    <w:rsid w:val="631B421F"/>
    <w:rsid w:val="6320666B"/>
    <w:rsid w:val="633E7ADE"/>
    <w:rsid w:val="63433366"/>
    <w:rsid w:val="63460DBC"/>
    <w:rsid w:val="63891D25"/>
    <w:rsid w:val="63A54A3C"/>
    <w:rsid w:val="63A66D11"/>
    <w:rsid w:val="63A92490"/>
    <w:rsid w:val="63AE49E0"/>
    <w:rsid w:val="63D63827"/>
    <w:rsid w:val="63F10251"/>
    <w:rsid w:val="641674F2"/>
    <w:rsid w:val="643B2761"/>
    <w:rsid w:val="64C51278"/>
    <w:rsid w:val="64CA5FFF"/>
    <w:rsid w:val="64FD5E67"/>
    <w:rsid w:val="65546448"/>
    <w:rsid w:val="65711670"/>
    <w:rsid w:val="65AE7E08"/>
    <w:rsid w:val="65C63372"/>
    <w:rsid w:val="662C60B7"/>
    <w:rsid w:val="66613222"/>
    <w:rsid w:val="66780731"/>
    <w:rsid w:val="668C29E2"/>
    <w:rsid w:val="668F6486"/>
    <w:rsid w:val="670575BF"/>
    <w:rsid w:val="672A7AB8"/>
    <w:rsid w:val="67613B55"/>
    <w:rsid w:val="67F23C6D"/>
    <w:rsid w:val="68D61B92"/>
    <w:rsid w:val="68E33569"/>
    <w:rsid w:val="694F3806"/>
    <w:rsid w:val="696772FB"/>
    <w:rsid w:val="69E4001D"/>
    <w:rsid w:val="6A095614"/>
    <w:rsid w:val="6A2B4C32"/>
    <w:rsid w:val="6AEA3DA1"/>
    <w:rsid w:val="6AF07B7F"/>
    <w:rsid w:val="6B130C13"/>
    <w:rsid w:val="6B2F1B41"/>
    <w:rsid w:val="6B427B77"/>
    <w:rsid w:val="6B4E2D3E"/>
    <w:rsid w:val="6BD96A17"/>
    <w:rsid w:val="6C091100"/>
    <w:rsid w:val="6C1668B8"/>
    <w:rsid w:val="6C530C66"/>
    <w:rsid w:val="6C8C3392"/>
    <w:rsid w:val="6D072A73"/>
    <w:rsid w:val="6E550CC4"/>
    <w:rsid w:val="6E7F09C4"/>
    <w:rsid w:val="6E943BB5"/>
    <w:rsid w:val="6EBC13EB"/>
    <w:rsid w:val="6EBE3907"/>
    <w:rsid w:val="6EC71ECE"/>
    <w:rsid w:val="6F6F4C26"/>
    <w:rsid w:val="6FEF16BE"/>
    <w:rsid w:val="706B00BB"/>
    <w:rsid w:val="70B43760"/>
    <w:rsid w:val="70DE0D35"/>
    <w:rsid w:val="70DF14BB"/>
    <w:rsid w:val="70EB475C"/>
    <w:rsid w:val="70F01005"/>
    <w:rsid w:val="71397DCB"/>
    <w:rsid w:val="71687CAF"/>
    <w:rsid w:val="71AF12E6"/>
    <w:rsid w:val="727A15DA"/>
    <w:rsid w:val="72B01989"/>
    <w:rsid w:val="72CA1615"/>
    <w:rsid w:val="72DA63FB"/>
    <w:rsid w:val="730C7D63"/>
    <w:rsid w:val="73372296"/>
    <w:rsid w:val="73584999"/>
    <w:rsid w:val="738A4F1A"/>
    <w:rsid w:val="741C0922"/>
    <w:rsid w:val="7449069D"/>
    <w:rsid w:val="74573835"/>
    <w:rsid w:val="75056005"/>
    <w:rsid w:val="753D05C7"/>
    <w:rsid w:val="758B5B61"/>
    <w:rsid w:val="75AE44DB"/>
    <w:rsid w:val="75B46B29"/>
    <w:rsid w:val="75E7504D"/>
    <w:rsid w:val="75EF53B2"/>
    <w:rsid w:val="76037EB7"/>
    <w:rsid w:val="760B7E8B"/>
    <w:rsid w:val="7633605A"/>
    <w:rsid w:val="76B10E65"/>
    <w:rsid w:val="76D01A14"/>
    <w:rsid w:val="76E653E4"/>
    <w:rsid w:val="776B217F"/>
    <w:rsid w:val="77730B47"/>
    <w:rsid w:val="77A3153F"/>
    <w:rsid w:val="77B238DE"/>
    <w:rsid w:val="77E17612"/>
    <w:rsid w:val="77F85EB7"/>
    <w:rsid w:val="786372CE"/>
    <w:rsid w:val="78697573"/>
    <w:rsid w:val="78D003F8"/>
    <w:rsid w:val="792620AF"/>
    <w:rsid w:val="79522E9F"/>
    <w:rsid w:val="79BF4A66"/>
    <w:rsid w:val="79E96674"/>
    <w:rsid w:val="79EA6FF3"/>
    <w:rsid w:val="79FF6F80"/>
    <w:rsid w:val="7A104A82"/>
    <w:rsid w:val="7A350790"/>
    <w:rsid w:val="7A8D2380"/>
    <w:rsid w:val="7AC23E20"/>
    <w:rsid w:val="7AE456E6"/>
    <w:rsid w:val="7C015992"/>
    <w:rsid w:val="7CE92D02"/>
    <w:rsid w:val="7D43447E"/>
    <w:rsid w:val="7D893333"/>
    <w:rsid w:val="7DB36601"/>
    <w:rsid w:val="7DEC3229"/>
    <w:rsid w:val="7E0278BC"/>
    <w:rsid w:val="7E144D2B"/>
    <w:rsid w:val="7E400A43"/>
    <w:rsid w:val="7E4159BB"/>
    <w:rsid w:val="7E6873EC"/>
    <w:rsid w:val="7ECB7D29"/>
    <w:rsid w:val="7ED70E56"/>
    <w:rsid w:val="7F202C72"/>
    <w:rsid w:val="7FA53D28"/>
    <w:rsid w:val="7FAF54D3"/>
    <w:rsid w:val="7FB3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link w:val="56"/>
    <w:unhideWhenUsed/>
    <w:qFormat/>
    <w:uiPriority w:val="0"/>
    <w:pPr>
      <w:keepNext/>
      <w:keepLines/>
      <w:spacing w:before="240" w:after="64" w:line="320" w:lineRule="auto"/>
      <w:outlineLvl w:val="6"/>
    </w:pPr>
    <w:rPr>
      <w:b/>
      <w:bCs/>
      <w:szCs w:val="24"/>
    </w:rPr>
  </w:style>
  <w:style w:type="paragraph" w:styleId="9">
    <w:name w:val="heading 8"/>
    <w:basedOn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unhideWhenUsed/>
    <w:qFormat/>
    <w:uiPriority w:val="39"/>
    <w:pPr>
      <w:ind w:left="960"/>
      <w:jc w:val="left"/>
    </w:pPr>
    <w:rPr>
      <w:sz w:val="18"/>
      <w:szCs w:val="18"/>
    </w:rPr>
  </w:style>
  <w:style w:type="paragraph" w:styleId="22">
    <w:name w:val="toc 3"/>
    <w:basedOn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unhideWhenUsed/>
    <w:qFormat/>
    <w:uiPriority w:val="39"/>
    <w:pPr>
      <w:ind w:left="1680"/>
      <w:jc w:val="left"/>
    </w:pPr>
    <w:rPr>
      <w:sz w:val="18"/>
      <w:szCs w:val="18"/>
    </w:rPr>
  </w:style>
  <w:style w:type="paragraph" w:styleId="25">
    <w:name w:val="Date"/>
    <w:basedOn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unhideWhenUsed/>
    <w:qFormat/>
    <w:uiPriority w:val="39"/>
    <w:pPr>
      <w:spacing w:before="120"/>
      <w:jc w:val="left"/>
    </w:pPr>
    <w:rPr>
      <w:b/>
      <w:caps/>
      <w:sz w:val="22"/>
    </w:rPr>
  </w:style>
  <w:style w:type="paragraph" w:styleId="31">
    <w:name w:val="toc 4"/>
    <w:basedOn w:val="1"/>
    <w:unhideWhenUsed/>
    <w:qFormat/>
    <w:uiPriority w:val="39"/>
    <w:pPr>
      <w:ind w:left="720"/>
      <w:jc w:val="left"/>
    </w:pPr>
    <w:rPr>
      <w:sz w:val="18"/>
      <w:szCs w:val="18"/>
    </w:rPr>
  </w:style>
  <w:style w:type="paragraph" w:styleId="32">
    <w:name w:val="toc 6"/>
    <w:basedOn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unhideWhenUsed/>
    <w:qFormat/>
    <w:uiPriority w:val="39"/>
    <w:pPr>
      <w:ind w:left="240"/>
      <w:jc w:val="left"/>
    </w:pPr>
    <w:rPr>
      <w:sz w:val="22"/>
    </w:rPr>
  </w:style>
  <w:style w:type="paragraph" w:styleId="36">
    <w:name w:val="toc 9"/>
    <w:basedOn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qFormat/>
    <w:uiPriority w:val="0"/>
    <w:pPr>
      <w:jc w:val="center"/>
    </w:pPr>
    <w:rPr>
      <w:rFonts w:ascii="仿宋_GB2312" w:hAnsi="Times New Roman" w:eastAsia="仿宋_GB2312" w:cs="Times New Roman"/>
      <w:b/>
      <w:bCs/>
      <w:sz w:val="28"/>
      <w:szCs w:val="20"/>
    </w:rPr>
  </w:style>
  <w:style w:type="paragraph" w:styleId="40">
    <w:name w:val="annotation subject"/>
    <w:basedOn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0"/>
      </w:numPr>
      <w:tabs>
        <w:tab w:val="left" w:pos="961"/>
        <w:tab w:val="left" w:pos="1861"/>
      </w:tabs>
      <w:ind w:left="961" w:hanging="360"/>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0"/>
      </w:numPr>
      <w:tabs>
        <w:tab w:val="left" w:pos="961"/>
        <w:tab w:val="left" w:pos="1441"/>
      </w:tabs>
      <w:ind w:left="961" w:hanging="360"/>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38</Pages>
  <Words>10201</Words>
  <Characters>11330</Characters>
  <Lines>138</Lines>
  <Paragraphs>38</Paragraphs>
  <TotalTime>4</TotalTime>
  <ScaleCrop>false</ScaleCrop>
  <LinksUpToDate>false</LinksUpToDate>
  <CharactersWithSpaces>11600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Smile</cp:lastModifiedBy>
  <cp:lastPrinted>2025-10-21T09:08:00Z</cp:lastPrinted>
  <dcterms:modified xsi:type="dcterms:W3CDTF">2026-06-23T01:29:59Z</dcterms:modified>
  <cp:revision>402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5F78302DD2EB4C5B9758703B822FD7DB</vt:lpwstr>
  </property>
  <property fmtid="{D5CDD505-2E9C-101B-9397-08002B2CF9AE}" pid="4" name="KSOTemplateDocerSaveRecord">
    <vt:lpwstr>eyJoZGlkIjoiOGU3NDc0Mzk1M2NmYmE2ODEzOWIzODU3MDE0YjA1ODgiLCJ1c2VySWQiOiIxMDAzMjQ3NTA2In0=</vt:lpwstr>
  </property>
</Properties>
</file>