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highlight w:val="none"/>
        </w:rPr>
      </w:pPr>
    </w:p>
    <w:p w14:paraId="063E5BCC">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3AF750C7">
      <w:pPr>
        <w:spacing w:line="900" w:lineRule="exact"/>
        <w:jc w:val="center"/>
        <w:rPr>
          <w:rFonts w:hint="eastAsia" w:ascii="Times New Roman" w:hAnsi="Times New Roman" w:eastAsia="方正黑体_GBK" w:cs="Times New Roman"/>
          <w:b/>
          <w:sz w:val="44"/>
          <w:szCs w:val="44"/>
          <w:highlight w:val="none"/>
          <w:lang w:eastAsia="zh-CN"/>
        </w:rPr>
      </w:pPr>
      <w:r>
        <w:rPr>
          <w:rFonts w:hint="eastAsia" w:ascii="Times New Roman" w:hAnsi="Times New Roman" w:eastAsia="方正黑体_GBK" w:cs="Times New Roman"/>
          <w:b/>
          <w:sz w:val="44"/>
          <w:szCs w:val="44"/>
          <w:highlight w:val="none"/>
          <w:lang w:eastAsia="zh-CN"/>
        </w:rPr>
        <w:t>2026年暑期校园设施维修整改项目</w:t>
      </w:r>
    </w:p>
    <w:p w14:paraId="4BBF0ACC">
      <w:pPr>
        <w:spacing w:line="900" w:lineRule="exact"/>
        <w:jc w:val="center"/>
        <w:rPr>
          <w:rFonts w:hint="eastAsia" w:ascii="Times New Roman" w:hAnsi="Times New Roman" w:eastAsia="方正黑体_GBK" w:cs="Times New Roman"/>
          <w:b/>
          <w:sz w:val="44"/>
          <w:szCs w:val="44"/>
          <w:highlight w:val="none"/>
          <w:lang w:eastAsia="zh-CN"/>
        </w:rPr>
      </w:pPr>
      <w:r>
        <w:rPr>
          <w:rFonts w:hint="eastAsia" w:ascii="Times New Roman" w:hAnsi="Times New Roman" w:eastAsia="方正黑体_GBK" w:cs="Times New Roman"/>
          <w:b/>
          <w:sz w:val="44"/>
          <w:szCs w:val="44"/>
          <w:highlight w:val="none"/>
          <w:lang w:eastAsia="zh-CN"/>
        </w:rPr>
        <w:t>（足球场部分）</w:t>
      </w:r>
    </w:p>
    <w:p w14:paraId="39500935">
      <w:pPr>
        <w:spacing w:line="900" w:lineRule="exact"/>
        <w:jc w:val="center"/>
        <w:rPr>
          <w:rFonts w:hint="eastAsia" w:ascii="Times New Roman" w:hAnsi="Times New Roman" w:eastAsia="方正黑体_GBK" w:cs="Times New Roman"/>
          <w:b/>
          <w:sz w:val="44"/>
          <w:szCs w:val="44"/>
          <w:highlight w:val="none"/>
          <w:lang w:eastAsia="zh-CN"/>
        </w:rPr>
      </w:pPr>
    </w:p>
    <w:p w14:paraId="700400A9">
      <w:pPr>
        <w:spacing w:line="900" w:lineRule="exact"/>
        <w:jc w:val="center"/>
        <w:rPr>
          <w:rFonts w:hint="eastAsia" w:ascii="Times New Roman" w:hAnsi="Times New Roman" w:eastAsia="方正黑体_GBK" w:cs="Times New Roman"/>
          <w:b/>
          <w:sz w:val="44"/>
          <w:szCs w:val="44"/>
          <w:highlight w:val="none"/>
          <w:lang w:eastAsia="zh-CN"/>
        </w:rPr>
      </w:pPr>
    </w:p>
    <w:p w14:paraId="7B0E10DE">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65AA0FE7">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831097A">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1C457121">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2F11B05E">
      <w:pPr>
        <w:spacing w:after="120" w:afterLines="50"/>
        <w:rPr>
          <w:rFonts w:ascii="Times New Roman" w:hAnsi="Times New Roman" w:cs="Times New Roman" w:eastAsiaTheme="minorEastAsia"/>
          <w:b/>
          <w:sz w:val="72"/>
          <w:highlight w:val="none"/>
        </w:rPr>
      </w:pPr>
    </w:p>
    <w:p w14:paraId="54A7D486">
      <w:pPr>
        <w:spacing w:after="120" w:afterLines="50"/>
        <w:rPr>
          <w:rFonts w:ascii="Times New Roman" w:hAnsi="Times New Roman" w:eastAsia="方正黑体_GBK" w:cs="Times New Roman"/>
          <w:b/>
          <w:sz w:val="72"/>
          <w:highlight w:val="none"/>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64AEEA3F">
      <w:pPr>
        <w:spacing w:after="120" w:afterLines="50" w:line="500" w:lineRule="exact"/>
        <w:ind w:firstLine="1979" w:firstLineChars="618"/>
        <w:rPr>
          <w:rFonts w:ascii="Times New Roman" w:hAnsi="Times New Roman" w:eastAsia="方正黑体_GBK" w:cs="Times New Roman"/>
          <w:b/>
          <w:sz w:val="32"/>
          <w:highlight w:val="none"/>
        </w:rPr>
      </w:pPr>
    </w:p>
    <w:p w14:paraId="255D5485">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招标人：重庆财经学院</w:t>
      </w:r>
    </w:p>
    <w:p w14:paraId="3F3D144A">
      <w:pPr>
        <w:spacing w:after="120" w:afterLines="50" w:line="500" w:lineRule="exact"/>
        <w:ind w:firstLine="1979" w:firstLineChars="618"/>
        <w:rPr>
          <w:rFonts w:ascii="Times New Roman" w:hAnsi="Times New Roman" w:eastAsia="方正黑体_GBK" w:cs="Times New Roman"/>
          <w:b/>
          <w:color w:val="auto"/>
          <w:sz w:val="32"/>
          <w:highlight w:val="none"/>
        </w:rPr>
      </w:pPr>
      <w:r>
        <w:rPr>
          <w:rFonts w:ascii="Times New Roman" w:hAnsi="Times New Roman" w:eastAsia="方正黑体_GBK" w:cs="Times New Roman"/>
          <w:b/>
          <w:color w:val="auto"/>
          <w:sz w:val="32"/>
          <w:highlight w:val="none"/>
        </w:rPr>
        <w:t>招标日期：202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7</w:t>
      </w:r>
      <w:r>
        <w:rPr>
          <w:rFonts w:ascii="Times New Roman" w:hAnsi="Times New Roman" w:eastAsia="方正黑体_GBK" w:cs="Times New Roman"/>
          <w:b/>
          <w:color w:val="auto"/>
          <w:sz w:val="32"/>
          <w:highlight w:val="none"/>
        </w:rPr>
        <w:t>月</w:t>
      </w:r>
      <w:bookmarkStart w:id="381" w:name="_GoBack"/>
      <w:bookmarkEnd w:id="381"/>
    </w:p>
    <w:p w14:paraId="079325BC">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p w14:paraId="75851451">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94095FE">
          <w:pPr>
            <w:rPr>
              <w:highlight w:val="none"/>
              <w:lang w:val="zh-CN"/>
            </w:rPr>
          </w:pPr>
        </w:p>
        <w:p w14:paraId="3363B498">
          <w:pPr>
            <w:rPr>
              <w:highlight w:val="none"/>
            </w:rPr>
          </w:pPr>
        </w:p>
        <w:p w14:paraId="370DE2F5">
          <w:pPr>
            <w:pStyle w:val="30"/>
            <w:tabs>
              <w:tab w:val="right" w:leader="dot" w:pos="8255"/>
            </w:tabs>
            <w:rPr>
              <w:rStyle w:val="48"/>
              <w:rFonts w:ascii="方正黑体_GBK" w:hAnsi="方正黑体_GBK" w:eastAsia="方正黑体_GBK" w:cs="方正黑体_GBK"/>
              <w:color w:val="auto"/>
              <w:sz w:val="24"/>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rStyle w:val="48"/>
              <w:rFonts w:ascii="方正黑体_GBK" w:hAnsi="方正黑体_GBK" w:eastAsia="方正黑体_GBK" w:cs="方正黑体_GBK"/>
              <w:color w:val="auto"/>
              <w:sz w:val="24"/>
            </w:rPr>
            <w:fldChar w:fldCharType="begin"/>
          </w:r>
          <w:r>
            <w:rPr>
              <w:rStyle w:val="48"/>
              <w:rFonts w:ascii="方正黑体_GBK" w:hAnsi="方正黑体_GBK" w:eastAsia="方正黑体_GBK" w:cs="方正黑体_GBK"/>
              <w:color w:val="auto"/>
              <w:sz w:val="24"/>
            </w:rPr>
            <w:instrText xml:space="preserve"> HYPERLINK \l _Toc23554 </w:instrText>
          </w:r>
          <w:r>
            <w:rPr>
              <w:rStyle w:val="48"/>
              <w:rFonts w:ascii="方正黑体_GBK" w:hAnsi="方正黑体_GBK" w:eastAsia="方正黑体_GBK" w:cs="方正黑体_GBK"/>
              <w:color w:val="auto"/>
              <w:sz w:val="24"/>
            </w:rPr>
            <w:fldChar w:fldCharType="separate"/>
          </w:r>
          <w:r>
            <w:rPr>
              <w:rStyle w:val="48"/>
              <w:rFonts w:ascii="方正黑体_GBK" w:hAnsi="方正黑体_GBK" w:eastAsia="方正黑体_GBK" w:cs="方正黑体_GBK"/>
              <w:color w:val="auto"/>
              <w:sz w:val="24"/>
              <w:szCs w:val="24"/>
            </w:rPr>
            <w:t>第一章 招标公告</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fldChar w:fldCharType="begin"/>
          </w:r>
          <w:r>
            <w:rPr>
              <w:rStyle w:val="48"/>
              <w:rFonts w:hint="eastAsia" w:ascii="方正黑体_GBK" w:hAnsi="方正黑体_GBK" w:eastAsia="方正黑体_GBK" w:cs="方正黑体_GBK"/>
              <w:color w:val="auto"/>
              <w:sz w:val="24"/>
              <w:szCs w:val="24"/>
              <w:highlight w:val="none"/>
            </w:rPr>
            <w:instrText xml:space="preserve"> PAGEREF _Toc23554 \h </w:instrText>
          </w:r>
          <w:r>
            <w:rPr>
              <w:rStyle w:val="48"/>
              <w:rFonts w:hint="eastAsia" w:ascii="方正黑体_GBK" w:hAnsi="方正黑体_GBK" w:eastAsia="方正黑体_GBK" w:cs="方正黑体_GBK"/>
              <w:color w:val="auto"/>
              <w:sz w:val="24"/>
              <w:szCs w:val="24"/>
              <w:highlight w:val="none"/>
            </w:rPr>
            <w:fldChar w:fldCharType="separate"/>
          </w:r>
          <w:r>
            <w:rPr>
              <w:rStyle w:val="48"/>
              <w:rFonts w:hint="eastAsia" w:ascii="方正黑体_GBK" w:hAnsi="方正黑体_GBK" w:eastAsia="方正黑体_GBK" w:cs="方正黑体_GBK"/>
              <w:color w:val="auto"/>
              <w:sz w:val="24"/>
              <w:szCs w:val="24"/>
              <w:highlight w:val="none"/>
            </w:rPr>
            <w:t>3</w:t>
          </w:r>
          <w:r>
            <w:rPr>
              <w:rStyle w:val="48"/>
              <w:rFonts w:hint="eastAsia" w:ascii="方正黑体_GBK" w:hAnsi="方正黑体_GBK" w:eastAsia="方正黑体_GBK" w:cs="方正黑体_GBK"/>
              <w:color w:val="auto"/>
              <w:sz w:val="24"/>
              <w:szCs w:val="24"/>
              <w:highlight w:val="none"/>
            </w:rPr>
            <w:fldChar w:fldCharType="end"/>
          </w:r>
          <w:r>
            <w:rPr>
              <w:rStyle w:val="48"/>
              <w:rFonts w:ascii="方正黑体_GBK" w:hAnsi="方正黑体_GBK" w:eastAsia="方正黑体_GBK" w:cs="方正黑体_GBK"/>
              <w:color w:val="auto"/>
              <w:sz w:val="24"/>
            </w:rPr>
            <w:fldChar w:fldCharType="end"/>
          </w:r>
        </w:p>
        <w:p w14:paraId="535CE603">
          <w:pPr>
            <w:pStyle w:val="30"/>
            <w:tabs>
              <w:tab w:val="right" w:leader="dot" w:pos="8255"/>
            </w:tabs>
            <w:rPr>
              <w:rStyle w:val="48"/>
              <w:rFonts w:ascii="方正黑体_GBK" w:hAnsi="方正黑体_GBK" w:eastAsia="方正黑体_GBK" w:cs="方正黑体_GBK"/>
              <w:color w:val="auto"/>
              <w:sz w:val="24"/>
            </w:rPr>
          </w:pPr>
        </w:p>
        <w:p w14:paraId="4EA69162">
          <w:pPr>
            <w:pStyle w:val="30"/>
            <w:tabs>
              <w:tab w:val="right" w:leader="dot" w:pos="8255"/>
            </w:tabs>
            <w:rPr>
              <w:rStyle w:val="48"/>
              <w:rFonts w:hint="eastAsia" w:ascii="方正黑体_GBK" w:hAnsi="方正黑体_GBK" w:eastAsia="方正黑体_GBK" w:cs="方正黑体_GBK"/>
              <w:color w:val="auto"/>
              <w:sz w:val="24"/>
            </w:rPr>
          </w:pPr>
        </w:p>
        <w:p w14:paraId="4CB6FFF1">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Style w:val="48"/>
              <w:rFonts w:ascii="方正黑体_GBK" w:hAnsi="方正黑体_GBK" w:eastAsia="方正黑体_GBK" w:cs="方正黑体_GBK"/>
              <w:color w:val="auto"/>
              <w:sz w:val="24"/>
            </w:rPr>
            <w:fldChar w:fldCharType="begin"/>
          </w:r>
          <w:r>
            <w:rPr>
              <w:rStyle w:val="48"/>
              <w:rFonts w:ascii="方正黑体_GBK" w:hAnsi="方正黑体_GBK" w:eastAsia="方正黑体_GBK" w:cs="方正黑体_GBK"/>
              <w:color w:val="auto"/>
              <w:sz w:val="24"/>
            </w:rPr>
            <w:instrText xml:space="preserve"> HYPERLINK \l _Toc24060 </w:instrText>
          </w:r>
          <w:r>
            <w:rPr>
              <w:rStyle w:val="48"/>
              <w:rFonts w:ascii="方正黑体_GBK" w:hAnsi="方正黑体_GBK" w:eastAsia="方正黑体_GBK" w:cs="方正黑体_GBK"/>
              <w:color w:val="auto"/>
              <w:sz w:val="24"/>
            </w:rPr>
            <w:fldChar w:fldCharType="separate"/>
          </w:r>
          <w:r>
            <w:rPr>
              <w:rStyle w:val="48"/>
              <w:rFonts w:hint="eastAsia" w:ascii="方正黑体_GBK" w:hAnsi="方正黑体_GBK" w:eastAsia="方正黑体_GBK" w:cs="方正黑体_GBK"/>
              <w:color w:val="auto"/>
              <w:sz w:val="24"/>
              <w:szCs w:val="24"/>
            </w:rPr>
            <w:t>第二章 投标人</w:t>
          </w:r>
          <w:r>
            <w:rPr>
              <w:rStyle w:val="48"/>
              <w:rFonts w:ascii="方正黑体_GBK" w:hAnsi="方正黑体_GBK" w:eastAsia="方正黑体_GBK" w:cs="方正黑体_GBK"/>
              <w:color w:val="auto"/>
              <w:sz w:val="24"/>
              <w:szCs w:val="24"/>
            </w:rPr>
            <w:t>须</w:t>
          </w:r>
          <w:r>
            <w:rPr>
              <w:rStyle w:val="48"/>
              <w:rFonts w:hint="eastAsia" w:ascii="方正黑体_GBK" w:hAnsi="方正黑体_GBK" w:eastAsia="方正黑体_GBK" w:cs="方正黑体_GBK"/>
              <w:color w:val="auto"/>
              <w:sz w:val="24"/>
              <w:szCs w:val="24"/>
            </w:rPr>
            <w:t>知</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fldChar w:fldCharType="begin"/>
          </w:r>
          <w:r>
            <w:rPr>
              <w:rStyle w:val="48"/>
              <w:rFonts w:hint="eastAsia" w:ascii="方正黑体_GBK" w:hAnsi="方正黑体_GBK" w:eastAsia="方正黑体_GBK" w:cs="方正黑体_GBK"/>
              <w:color w:val="auto"/>
              <w:sz w:val="24"/>
              <w:szCs w:val="24"/>
              <w:highlight w:val="none"/>
            </w:rPr>
            <w:instrText xml:space="preserve"> PAGEREF _Toc24060 \h </w:instrText>
          </w:r>
          <w:r>
            <w:rPr>
              <w:rStyle w:val="48"/>
              <w:rFonts w:hint="eastAsia" w:ascii="方正黑体_GBK" w:hAnsi="方正黑体_GBK" w:eastAsia="方正黑体_GBK" w:cs="方正黑体_GBK"/>
              <w:color w:val="auto"/>
              <w:sz w:val="24"/>
              <w:szCs w:val="24"/>
              <w:highlight w:val="none"/>
            </w:rPr>
            <w:fldChar w:fldCharType="separate"/>
          </w:r>
          <w:r>
            <w:rPr>
              <w:rStyle w:val="48"/>
              <w:rFonts w:hint="eastAsia" w:ascii="方正黑体_GBK" w:hAnsi="方正黑体_GBK" w:eastAsia="方正黑体_GBK" w:cs="方正黑体_GBK"/>
              <w:color w:val="auto"/>
              <w:sz w:val="24"/>
              <w:szCs w:val="24"/>
              <w:highlight w:val="none"/>
            </w:rPr>
            <w:t>6</w:t>
          </w:r>
          <w:r>
            <w:rPr>
              <w:rStyle w:val="48"/>
              <w:rFonts w:hint="eastAsia" w:ascii="方正黑体_GBK" w:hAnsi="方正黑体_GBK" w:eastAsia="方正黑体_GBK" w:cs="方正黑体_GBK"/>
              <w:color w:val="auto"/>
              <w:sz w:val="24"/>
              <w:szCs w:val="24"/>
              <w:highlight w:val="none"/>
            </w:rPr>
            <w:fldChar w:fldCharType="end"/>
          </w:r>
          <w:r>
            <w:rPr>
              <w:rStyle w:val="48"/>
              <w:rFonts w:ascii="方正黑体_GBK" w:hAnsi="方正黑体_GBK" w:eastAsia="方正黑体_GBK" w:cs="方正黑体_GBK"/>
              <w:color w:val="auto"/>
              <w:sz w:val="24"/>
            </w:rPr>
            <w:fldChar w:fldCharType="end"/>
          </w:r>
        </w:p>
        <w:p w14:paraId="6D553A26">
          <w:pPr>
            <w:pStyle w:val="30"/>
            <w:tabs>
              <w:tab w:val="right" w:leader="dot" w:pos="8255"/>
            </w:tabs>
            <w:rPr>
              <w:rStyle w:val="48"/>
              <w:rFonts w:hint="eastAsia" w:ascii="方正黑体_GBK" w:hAnsi="方正黑体_GBK" w:eastAsia="方正黑体_GBK" w:cs="方正黑体_GBK"/>
              <w:color w:val="auto"/>
              <w:sz w:val="24"/>
              <w:szCs w:val="24"/>
              <w:highlight w:val="none"/>
            </w:rPr>
          </w:pPr>
        </w:p>
        <w:p w14:paraId="3389ED59">
          <w:pPr>
            <w:pStyle w:val="30"/>
            <w:tabs>
              <w:tab w:val="right" w:leader="dot" w:pos="8255"/>
            </w:tabs>
            <w:rPr>
              <w:rStyle w:val="48"/>
              <w:rFonts w:hint="eastAsia" w:ascii="方正黑体_GBK" w:hAnsi="方正黑体_GBK" w:eastAsia="方正黑体_GBK" w:cs="方正黑体_GBK"/>
              <w:color w:val="auto"/>
              <w:sz w:val="24"/>
              <w:szCs w:val="24"/>
              <w:highlight w:val="none"/>
            </w:rPr>
          </w:pPr>
        </w:p>
        <w:p w14:paraId="7D1D5BBD">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Style w:val="48"/>
              <w:rFonts w:ascii="方正黑体_GBK" w:hAnsi="方正黑体_GBK" w:eastAsia="方正黑体_GBK" w:cs="方正黑体_GBK"/>
              <w:color w:val="auto"/>
              <w:sz w:val="24"/>
            </w:rPr>
            <w:fldChar w:fldCharType="begin"/>
          </w:r>
          <w:r>
            <w:rPr>
              <w:rStyle w:val="48"/>
              <w:rFonts w:ascii="方正黑体_GBK" w:hAnsi="方正黑体_GBK" w:eastAsia="方正黑体_GBK" w:cs="方正黑体_GBK"/>
              <w:color w:val="auto"/>
              <w:sz w:val="24"/>
            </w:rPr>
            <w:instrText xml:space="preserve"> HYPERLINK \l _Toc5139 </w:instrText>
          </w:r>
          <w:r>
            <w:rPr>
              <w:rStyle w:val="48"/>
              <w:rFonts w:ascii="方正黑体_GBK" w:hAnsi="方正黑体_GBK" w:eastAsia="方正黑体_GBK" w:cs="方正黑体_GBK"/>
              <w:color w:val="auto"/>
              <w:sz w:val="24"/>
            </w:rPr>
            <w:fldChar w:fldCharType="separate"/>
          </w:r>
          <w:r>
            <w:rPr>
              <w:rStyle w:val="48"/>
              <w:rFonts w:hint="eastAsia" w:ascii="方正黑体_GBK" w:hAnsi="方正黑体_GBK" w:eastAsia="方正黑体_GBK" w:cs="方正黑体_GBK"/>
              <w:color w:val="auto"/>
              <w:sz w:val="24"/>
              <w:szCs w:val="24"/>
            </w:rPr>
            <w:t>第三章 招标数量及参数要求</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fldChar w:fldCharType="begin"/>
          </w:r>
          <w:r>
            <w:rPr>
              <w:rStyle w:val="48"/>
              <w:rFonts w:hint="eastAsia" w:ascii="方正黑体_GBK" w:hAnsi="方正黑体_GBK" w:eastAsia="方正黑体_GBK" w:cs="方正黑体_GBK"/>
              <w:color w:val="auto"/>
              <w:sz w:val="24"/>
              <w:szCs w:val="24"/>
              <w:highlight w:val="none"/>
            </w:rPr>
            <w:instrText xml:space="preserve"> PAGEREF _Toc5139 \h </w:instrText>
          </w:r>
          <w:r>
            <w:rPr>
              <w:rStyle w:val="48"/>
              <w:rFonts w:hint="eastAsia" w:ascii="方正黑体_GBK" w:hAnsi="方正黑体_GBK" w:eastAsia="方正黑体_GBK" w:cs="方正黑体_GBK"/>
              <w:color w:val="auto"/>
              <w:sz w:val="24"/>
              <w:szCs w:val="24"/>
              <w:highlight w:val="none"/>
            </w:rPr>
            <w:fldChar w:fldCharType="separate"/>
          </w:r>
          <w:r>
            <w:rPr>
              <w:rStyle w:val="48"/>
              <w:rFonts w:hint="eastAsia" w:ascii="方正黑体_GBK" w:hAnsi="方正黑体_GBK" w:eastAsia="方正黑体_GBK" w:cs="方正黑体_GBK"/>
              <w:color w:val="auto"/>
              <w:sz w:val="24"/>
              <w:szCs w:val="24"/>
              <w:highlight w:val="none"/>
            </w:rPr>
            <w:t>16</w:t>
          </w:r>
          <w:r>
            <w:rPr>
              <w:rStyle w:val="48"/>
              <w:rFonts w:hint="eastAsia" w:ascii="方正黑体_GBK" w:hAnsi="方正黑体_GBK" w:eastAsia="方正黑体_GBK" w:cs="方正黑体_GBK"/>
              <w:color w:val="auto"/>
              <w:sz w:val="24"/>
              <w:szCs w:val="24"/>
              <w:highlight w:val="none"/>
            </w:rPr>
            <w:fldChar w:fldCharType="end"/>
          </w:r>
          <w:r>
            <w:rPr>
              <w:rStyle w:val="48"/>
              <w:rFonts w:ascii="方正黑体_GBK" w:hAnsi="方正黑体_GBK" w:eastAsia="方正黑体_GBK" w:cs="方正黑体_GBK"/>
              <w:color w:val="auto"/>
              <w:sz w:val="24"/>
            </w:rPr>
            <w:fldChar w:fldCharType="end"/>
          </w:r>
        </w:p>
        <w:p w14:paraId="2F6B3695">
          <w:pPr>
            <w:pStyle w:val="30"/>
            <w:tabs>
              <w:tab w:val="right" w:leader="dot" w:pos="8255"/>
            </w:tabs>
            <w:rPr>
              <w:rStyle w:val="48"/>
              <w:rFonts w:ascii="方正黑体_GBK" w:hAnsi="方正黑体_GBK" w:eastAsia="方正黑体_GBK" w:cs="方正黑体_GBK"/>
              <w:color w:val="auto"/>
              <w:sz w:val="24"/>
            </w:rPr>
          </w:pPr>
        </w:p>
        <w:p w14:paraId="5564CB06">
          <w:pPr>
            <w:pStyle w:val="30"/>
            <w:tabs>
              <w:tab w:val="right" w:leader="dot" w:pos="8255"/>
            </w:tabs>
            <w:rPr>
              <w:rStyle w:val="48"/>
              <w:rFonts w:ascii="方正黑体_GBK" w:hAnsi="方正黑体_GBK" w:eastAsia="方正黑体_GBK" w:cs="方正黑体_GBK"/>
              <w:color w:val="auto"/>
              <w:sz w:val="24"/>
            </w:rPr>
          </w:pPr>
        </w:p>
        <w:p w14:paraId="0759DAC0">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Style w:val="48"/>
              <w:rFonts w:ascii="方正黑体_GBK" w:hAnsi="方正黑体_GBK" w:eastAsia="方正黑体_GBK" w:cs="方正黑体_GBK"/>
              <w:color w:val="auto"/>
              <w:sz w:val="24"/>
            </w:rPr>
            <w:fldChar w:fldCharType="begin"/>
          </w:r>
          <w:r>
            <w:rPr>
              <w:rStyle w:val="48"/>
              <w:rFonts w:ascii="方正黑体_GBK" w:hAnsi="方正黑体_GBK" w:eastAsia="方正黑体_GBK" w:cs="方正黑体_GBK"/>
              <w:color w:val="auto"/>
              <w:sz w:val="24"/>
            </w:rPr>
            <w:instrText xml:space="preserve"> HYPERLINK \l _Toc14554 </w:instrText>
          </w:r>
          <w:r>
            <w:rPr>
              <w:rStyle w:val="48"/>
              <w:rFonts w:ascii="方正黑体_GBK" w:hAnsi="方正黑体_GBK" w:eastAsia="方正黑体_GBK" w:cs="方正黑体_GBK"/>
              <w:color w:val="auto"/>
              <w:sz w:val="24"/>
            </w:rPr>
            <w:fldChar w:fldCharType="separate"/>
          </w:r>
          <w:r>
            <w:rPr>
              <w:rStyle w:val="48"/>
              <w:rFonts w:hint="eastAsia" w:ascii="方正黑体_GBK" w:hAnsi="方正黑体_GBK" w:eastAsia="方正黑体_GBK" w:cs="方正黑体_GBK"/>
              <w:color w:val="auto"/>
              <w:sz w:val="24"/>
              <w:szCs w:val="24"/>
            </w:rPr>
            <w:t>第四章 评标原则</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fldChar w:fldCharType="begin"/>
          </w:r>
          <w:r>
            <w:rPr>
              <w:rStyle w:val="48"/>
              <w:rFonts w:hint="eastAsia" w:ascii="方正黑体_GBK" w:hAnsi="方正黑体_GBK" w:eastAsia="方正黑体_GBK" w:cs="方正黑体_GBK"/>
              <w:color w:val="auto"/>
              <w:sz w:val="24"/>
              <w:szCs w:val="24"/>
              <w:highlight w:val="none"/>
            </w:rPr>
            <w:instrText xml:space="preserve"> PAGEREF _Toc14554 \h </w:instrText>
          </w:r>
          <w:r>
            <w:rPr>
              <w:rStyle w:val="48"/>
              <w:rFonts w:hint="eastAsia" w:ascii="方正黑体_GBK" w:hAnsi="方正黑体_GBK" w:eastAsia="方正黑体_GBK" w:cs="方正黑体_GBK"/>
              <w:color w:val="auto"/>
              <w:sz w:val="24"/>
              <w:szCs w:val="24"/>
              <w:highlight w:val="none"/>
            </w:rPr>
            <w:fldChar w:fldCharType="separate"/>
          </w:r>
          <w:r>
            <w:rPr>
              <w:rStyle w:val="48"/>
              <w:rFonts w:hint="eastAsia" w:ascii="方正黑体_GBK" w:hAnsi="方正黑体_GBK" w:eastAsia="方正黑体_GBK" w:cs="方正黑体_GBK"/>
              <w:color w:val="auto"/>
              <w:sz w:val="24"/>
              <w:szCs w:val="24"/>
              <w:highlight w:val="none"/>
            </w:rPr>
            <w:t>17</w:t>
          </w:r>
          <w:r>
            <w:rPr>
              <w:rStyle w:val="48"/>
              <w:rFonts w:hint="eastAsia" w:ascii="方正黑体_GBK" w:hAnsi="方正黑体_GBK" w:eastAsia="方正黑体_GBK" w:cs="方正黑体_GBK"/>
              <w:color w:val="auto"/>
              <w:sz w:val="24"/>
              <w:szCs w:val="24"/>
              <w:highlight w:val="none"/>
            </w:rPr>
            <w:fldChar w:fldCharType="end"/>
          </w:r>
          <w:r>
            <w:rPr>
              <w:rStyle w:val="48"/>
              <w:rFonts w:ascii="方正黑体_GBK" w:hAnsi="方正黑体_GBK" w:eastAsia="方正黑体_GBK" w:cs="方正黑体_GBK"/>
              <w:color w:val="auto"/>
              <w:sz w:val="24"/>
            </w:rPr>
            <w:fldChar w:fldCharType="end"/>
          </w:r>
        </w:p>
        <w:p w14:paraId="24E70367">
          <w:pPr>
            <w:pStyle w:val="30"/>
            <w:tabs>
              <w:tab w:val="right" w:leader="dot" w:pos="8255"/>
            </w:tabs>
            <w:rPr>
              <w:rStyle w:val="48"/>
              <w:rFonts w:ascii="方正黑体_GBK" w:hAnsi="方正黑体_GBK" w:eastAsia="方正黑体_GBK" w:cs="方正黑体_GBK"/>
              <w:color w:val="auto"/>
              <w:sz w:val="24"/>
            </w:rPr>
          </w:pPr>
        </w:p>
        <w:p w14:paraId="7CFB4452">
          <w:pPr>
            <w:pStyle w:val="30"/>
            <w:tabs>
              <w:tab w:val="right" w:leader="dot" w:pos="8255"/>
            </w:tabs>
            <w:rPr>
              <w:rStyle w:val="48"/>
              <w:rFonts w:ascii="方正黑体_GBK" w:hAnsi="方正黑体_GBK" w:eastAsia="方正黑体_GBK" w:cs="方正黑体_GBK"/>
              <w:color w:val="auto"/>
              <w:sz w:val="24"/>
            </w:rPr>
          </w:pPr>
        </w:p>
        <w:p w14:paraId="19E80A67">
          <w:pPr>
            <w:pStyle w:val="30"/>
            <w:tabs>
              <w:tab w:val="right" w:leader="dot" w:pos="8255"/>
            </w:tabs>
          </w:pPr>
          <w:r>
            <w:rPr>
              <w:rStyle w:val="48"/>
              <w:rFonts w:ascii="方正黑体_GBK" w:hAnsi="方正黑体_GBK" w:eastAsia="方正黑体_GBK" w:cs="方正黑体_GBK"/>
              <w:color w:val="auto"/>
              <w:sz w:val="24"/>
            </w:rPr>
            <w:fldChar w:fldCharType="begin"/>
          </w:r>
          <w:r>
            <w:rPr>
              <w:rStyle w:val="48"/>
              <w:rFonts w:ascii="方正黑体_GBK" w:hAnsi="方正黑体_GBK" w:eastAsia="方正黑体_GBK" w:cs="方正黑体_GBK"/>
              <w:color w:val="auto"/>
              <w:sz w:val="24"/>
            </w:rPr>
            <w:instrText xml:space="preserve"> HYPERLINK \l _Toc29164 </w:instrText>
          </w:r>
          <w:r>
            <w:rPr>
              <w:rStyle w:val="48"/>
              <w:rFonts w:ascii="方正黑体_GBK" w:hAnsi="方正黑体_GBK" w:eastAsia="方正黑体_GBK" w:cs="方正黑体_GBK"/>
              <w:color w:val="auto"/>
              <w:sz w:val="24"/>
            </w:rPr>
            <w:fldChar w:fldCharType="separate"/>
          </w:r>
          <w:r>
            <w:rPr>
              <w:rStyle w:val="48"/>
              <w:rFonts w:ascii="方正黑体_GBK" w:hAnsi="方正黑体_GBK" w:eastAsia="方正黑体_GBK" w:cs="方正黑体_GBK"/>
              <w:color w:val="auto"/>
              <w:sz w:val="24"/>
              <w:szCs w:val="24"/>
            </w:rPr>
            <w:t>第五章 投标文件格式</w:t>
          </w:r>
          <w:r>
            <w:rPr>
              <w:rStyle w:val="48"/>
              <w:rFonts w:hint="eastAsia" w:ascii="方正黑体_GBK" w:hAnsi="方正黑体_GBK" w:eastAsia="方正黑体_GBK" w:cs="方正黑体_GBK"/>
              <w:color w:val="auto"/>
              <w:sz w:val="24"/>
              <w:szCs w:val="24"/>
              <w:highlight w:val="none"/>
            </w:rPr>
            <w:tab/>
          </w:r>
          <w:r>
            <w:rPr>
              <w:rStyle w:val="48"/>
              <w:rFonts w:hint="eastAsia" w:ascii="方正黑体_GBK" w:hAnsi="方正黑体_GBK" w:eastAsia="方正黑体_GBK" w:cs="方正黑体_GBK"/>
              <w:color w:val="auto"/>
              <w:sz w:val="24"/>
              <w:szCs w:val="24"/>
              <w:highlight w:val="none"/>
            </w:rPr>
            <w:fldChar w:fldCharType="begin"/>
          </w:r>
          <w:r>
            <w:rPr>
              <w:rStyle w:val="48"/>
              <w:rFonts w:hint="eastAsia" w:ascii="方正黑体_GBK" w:hAnsi="方正黑体_GBK" w:eastAsia="方正黑体_GBK" w:cs="方正黑体_GBK"/>
              <w:color w:val="auto"/>
              <w:sz w:val="24"/>
              <w:szCs w:val="24"/>
              <w:highlight w:val="none"/>
            </w:rPr>
            <w:instrText xml:space="preserve"> PAGEREF _Toc29164 \h </w:instrText>
          </w:r>
          <w:r>
            <w:rPr>
              <w:rStyle w:val="48"/>
              <w:rFonts w:hint="eastAsia" w:ascii="方正黑体_GBK" w:hAnsi="方正黑体_GBK" w:eastAsia="方正黑体_GBK" w:cs="方正黑体_GBK"/>
              <w:color w:val="auto"/>
              <w:sz w:val="24"/>
              <w:szCs w:val="24"/>
              <w:highlight w:val="none"/>
            </w:rPr>
            <w:fldChar w:fldCharType="separate"/>
          </w:r>
          <w:r>
            <w:rPr>
              <w:rStyle w:val="48"/>
              <w:rFonts w:hint="eastAsia" w:ascii="方正黑体_GBK" w:hAnsi="方正黑体_GBK" w:eastAsia="方正黑体_GBK" w:cs="方正黑体_GBK"/>
              <w:color w:val="auto"/>
              <w:sz w:val="24"/>
              <w:szCs w:val="24"/>
              <w:highlight w:val="none"/>
            </w:rPr>
            <w:t>18</w:t>
          </w:r>
          <w:r>
            <w:rPr>
              <w:rStyle w:val="48"/>
              <w:rFonts w:hint="eastAsia" w:ascii="方正黑体_GBK" w:hAnsi="方正黑体_GBK" w:eastAsia="方正黑体_GBK" w:cs="方正黑体_GBK"/>
              <w:color w:val="auto"/>
              <w:sz w:val="24"/>
              <w:szCs w:val="24"/>
              <w:highlight w:val="none"/>
            </w:rPr>
            <w:fldChar w:fldCharType="end"/>
          </w:r>
          <w:r>
            <w:rPr>
              <w:rStyle w:val="48"/>
              <w:rFonts w:ascii="方正黑体_GBK" w:hAnsi="方正黑体_GBK" w:eastAsia="方正黑体_GBK" w:cs="方正黑体_GBK"/>
              <w:color w:val="auto"/>
              <w:sz w:val="24"/>
            </w:rPr>
            <w:fldChar w:fldCharType="end"/>
          </w:r>
        </w:p>
        <w:p w14:paraId="5A31D1C7">
          <w:pPr>
            <w:pStyle w:val="30"/>
            <w:tabs>
              <w:tab w:val="right" w:leader="dot" w:pos="9001"/>
            </w:tabs>
          </w:pPr>
        </w:p>
        <w:p w14:paraId="775D4E1E">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751153B7">
      <w:pPr>
        <w:rPr>
          <w:rFonts w:hint="eastAsia" w:ascii="方正小标宋_GBK" w:hAnsi="方正小标宋_GBK" w:eastAsia="方正小标宋_GBK" w:cs="方正小标宋_GBK"/>
          <w:highlight w:val="none"/>
        </w:rPr>
      </w:pPr>
    </w:p>
    <w:p w14:paraId="350A6A7B">
      <w:pPr>
        <w:rPr>
          <w:rFonts w:hint="eastAsia" w:ascii="方正小标宋_GBK" w:hAnsi="方正小标宋_GBK" w:eastAsia="方正小标宋_GBK" w:cs="方正小标宋_GBK"/>
          <w:b w:val="0"/>
          <w:bCs w:val="0"/>
          <w:highlight w:val="none"/>
        </w:rPr>
      </w:pPr>
    </w:p>
    <w:p w14:paraId="78BB4D5C">
      <w:pPr>
        <w:rPr>
          <w:rFonts w:hint="eastAsia" w:ascii="方正小标宋_GBK" w:hAnsi="方正小标宋_GBK" w:eastAsia="方正小标宋_GBK" w:cs="方正小标宋_GBK"/>
          <w:b w:val="0"/>
          <w:bCs w:val="0"/>
          <w:highlight w:val="none"/>
        </w:rPr>
      </w:pPr>
      <w:bookmarkStart w:id="0" w:name="_Toc23554"/>
      <w:r>
        <w:rPr>
          <w:rFonts w:hint="eastAsia" w:ascii="方正小标宋_GBK" w:hAnsi="方正小标宋_GBK" w:eastAsia="方正小标宋_GBK" w:cs="方正小标宋_GBK"/>
          <w:b w:val="0"/>
          <w:bCs w:val="0"/>
          <w:highlight w:val="none"/>
        </w:rPr>
        <w:br w:type="page"/>
      </w: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bookmarkEnd w:id="0"/>
    </w:p>
    <w:p w14:paraId="542701CD">
      <w:pPr>
        <w:spacing w:line="440" w:lineRule="exact"/>
        <w:ind w:firstLine="480" w:firstLineChars="200"/>
        <w:rPr>
          <w:highlight w:val="non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u w:val="singl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default" w:ascii="Times New Roman" w:hAnsi="Times New Roman" w:eastAsia="方正仿宋_GBK" w:cs="Times New Roman"/>
          <w:b w:val="0"/>
          <w:sz w:val="32"/>
          <w:szCs w:val="32"/>
          <w:highlight w:val="none"/>
          <w:u w:val="single"/>
          <w:lang w:eastAsia="zh-CN"/>
        </w:rPr>
        <w:t>2026年暑期校园设施维修整改（</w:t>
      </w:r>
      <w:r>
        <w:rPr>
          <w:rFonts w:hint="eastAsia" w:ascii="Times New Roman" w:hAnsi="Times New Roman" w:eastAsia="方正仿宋_GBK" w:cs="Times New Roman"/>
          <w:b w:val="0"/>
          <w:sz w:val="32"/>
          <w:szCs w:val="32"/>
          <w:highlight w:val="none"/>
          <w:u w:val="single"/>
          <w:lang w:eastAsia="zh-CN"/>
        </w:rPr>
        <w:t>足球场部分</w:t>
      </w:r>
      <w:r>
        <w:rPr>
          <w:rFonts w:hint="default" w:ascii="Times New Roman" w:hAnsi="Times New Roman" w:eastAsia="方正仿宋_GBK" w:cs="Times New Roman"/>
          <w:b w:val="0"/>
          <w:sz w:val="32"/>
          <w:szCs w:val="32"/>
          <w:highlight w:val="none"/>
          <w:u w:val="single"/>
          <w:lang w:eastAsia="zh-CN"/>
        </w:rPr>
        <w:t>）项目</w:t>
      </w:r>
      <w:r>
        <w:rPr>
          <w:rFonts w:ascii="Times New Roman" w:hAnsi="Times New Roman" w:eastAsia="方正仿宋_GBK" w:cs="Times New Roman"/>
          <w:sz w:val="32"/>
          <w:szCs w:val="32"/>
          <w:highlight w:val="none"/>
        </w:rPr>
        <w:t>”进行国内</w:t>
      </w:r>
      <w:r>
        <w:rPr>
          <w:rFonts w:hint="eastAsia" w:ascii="Times New Roman" w:hAnsi="Times New Roman" w:eastAsia="方正仿宋_GBK" w:cs="Times New Roman"/>
          <w:sz w:val="32"/>
          <w:szCs w:val="32"/>
          <w:highlight w:val="none"/>
          <w:lang w:eastAsia="zh-CN"/>
        </w:rPr>
        <w:t>挂网招标</w:t>
      </w:r>
      <w:r>
        <w:rPr>
          <w:rFonts w:ascii="Times New Roman" w:hAnsi="Times New Roman" w:eastAsia="方正仿宋_GBK" w:cs="Times New Roman"/>
          <w:sz w:val="32"/>
          <w:szCs w:val="32"/>
          <w:highlight w:val="none"/>
        </w:rPr>
        <w:t>，兹邀请符合本次招标要求的供应商参加投标。</w:t>
      </w:r>
    </w:p>
    <w:p w14:paraId="670571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601CC575">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项目内容的简介:为消除安全隐患，提升校园环境品质，改善师生学习生活环境，保障新学期教育教学工作顺利开展，后勤处对校内设施进行全面排查，利用暑期集中实施校园维修整改工程。</w:t>
      </w:r>
    </w:p>
    <w:p w14:paraId="06861C9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6DC82AA1">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sz w:val="32"/>
          <w:szCs w:val="32"/>
          <w:highlight w:val="none"/>
          <w:lang w:val="en-US" w:eastAsia="zh-CN"/>
        </w:rPr>
        <w:t>自筹资金。</w:t>
      </w:r>
    </w:p>
    <w:p w14:paraId="0C328F6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302BBA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592156D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55E2C5B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4829386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374B5F3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7209C1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44E6558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6.投标方需提供2023年1月1日以来由投标人签署的相关项目合同复印件（单个合同金额至少40万元）及类似项目履约能力证明材料；</w:t>
      </w:r>
    </w:p>
    <w:p w14:paraId="51297B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本次招标要求投标人具备的资质条件：具备建设行政主管部门颁发的有效的建筑工程施工总承包三级及以上资质或建筑装修装饰工程专业承包二级及以上资质。</w:t>
      </w:r>
    </w:p>
    <w:p w14:paraId="72530F8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8.具有完善的质量保证和售后服务体系。</w:t>
      </w:r>
    </w:p>
    <w:p w14:paraId="151C5D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B7524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四、</w:t>
      </w:r>
      <w:r>
        <w:rPr>
          <w:rFonts w:ascii="方正楷体_GBK" w:hAnsi="方正楷体_GBK" w:eastAsia="方正楷体_GBK" w:cs="方正楷体_GBK"/>
          <w:b/>
          <w:bCs/>
          <w:sz w:val="32"/>
          <w:szCs w:val="32"/>
          <w:highlight w:val="none"/>
          <w:lang w:val="en-US" w:eastAsia="zh-CN"/>
        </w:rPr>
        <w:t>投标、开标有关说明</w:t>
      </w:r>
    </w:p>
    <w:p w14:paraId="0DB076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（一）</w:t>
      </w:r>
      <w:r>
        <w:rPr>
          <w:rFonts w:hint="eastAsia" w:ascii="Times New Roman" w:hAnsi="Times New Roman" w:eastAsia="方正仿宋_GBK" w:cs="Times New Roman"/>
          <w:color w:val="auto"/>
          <w:sz w:val="32"/>
          <w:szCs w:val="32"/>
          <w:highlight w:val="none"/>
          <w:lang w:val="en-US" w:eastAsia="zh-CN"/>
        </w:rPr>
        <w:t>招标文件公告期限：</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6年7月6日至</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6年7月8日。</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（三）招标文件发售地点：</w:t>
      </w:r>
    </w:p>
    <w:p w14:paraId="5FDB6E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default" w:ascii="Times New Roman" w:hAnsi="Times New Roman" w:eastAsia="方正仿宋_GBK" w:cs="Times New Roman"/>
          <w:color w:val="auto"/>
          <w:sz w:val="32"/>
          <w:szCs w:val="32"/>
          <w:highlight w:val="none"/>
          <w:lang w:val="en-US" w:eastAsia="zh-CN"/>
        </w:rPr>
        <w:t>202</w:t>
      </w:r>
      <w:r>
        <w:rPr>
          <w:rFonts w:hint="eastAsia" w:ascii="Times New Roman" w:hAnsi="Times New Roman" w:eastAsia="方正仿宋_GBK" w:cs="Times New Roman"/>
          <w:color w:val="auto"/>
          <w:sz w:val="32"/>
          <w:szCs w:val="32"/>
          <w:highlight w:val="none"/>
          <w:lang w:val="en-US" w:eastAsia="zh-CN"/>
        </w:rPr>
        <w:t>6年7月9日以内。</w:t>
      </w:r>
    </w:p>
    <w:p w14:paraId="271794A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0A40E0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7FE79B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4BFF7CD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“重庆财经学院2026年暑期校园设施维修整改项目（足球场部分）招标文件购买费”</w:t>
      </w:r>
      <w:r>
        <w:rPr>
          <w:rFonts w:hint="eastAsia" w:ascii="Times New Roman" w:hAnsi="Times New Roman" w:eastAsia="方正仿宋_GBK" w:cs="Times New Roman"/>
          <w:b w:val="0"/>
          <w:bCs w:val="0"/>
          <w:color w:val="auto"/>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751CF3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b w:val="0"/>
          <w:bCs w:val="0"/>
          <w:sz w:val="32"/>
          <w:szCs w:val="32"/>
          <w:highlight w:val="none"/>
          <w:lang w:val="en-US" w:eastAsia="zh-CN"/>
        </w:rPr>
        <w:t>。</w:t>
      </w:r>
    </w:p>
    <w:p w14:paraId="6ABB6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78C9D23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color w:val="auto"/>
          <w:sz w:val="32"/>
          <w:szCs w:val="32"/>
          <w:highlight w:val="none"/>
          <w:u w:val="single"/>
          <w:lang w:val="en-US" w:eastAsia="zh-CN"/>
        </w:rPr>
        <w:t>1</w:t>
      </w:r>
      <w:r>
        <w:rPr>
          <w:rFonts w:hint="eastAsia" w:ascii="Times New Roman" w:hAnsi="Times New Roman" w:eastAsia="方正仿宋_GBK" w:cs="Times New Roman"/>
          <w:b w:val="0"/>
          <w:bCs w:val="0"/>
          <w:color w:val="auto"/>
          <w:sz w:val="32"/>
          <w:szCs w:val="32"/>
          <w:highlight w:val="none"/>
          <w:u w:val="single"/>
          <w:lang w:val="en-US" w:eastAsia="zh-CN"/>
        </w:rPr>
        <w:t>0000元（大写壹万元）</w:t>
      </w:r>
      <w:r>
        <w:rPr>
          <w:rFonts w:hint="eastAsia" w:ascii="Times New Roman" w:hAnsi="Times New Roman" w:eastAsia="方正仿宋_GBK" w:cs="Times New Roman"/>
          <w:color w:val="auto"/>
          <w:sz w:val="32"/>
          <w:szCs w:val="32"/>
          <w:highlight w:val="none"/>
          <w:lang w:val="en-US" w:eastAsia="zh-CN"/>
        </w:rPr>
        <w:t>的投标保证金，投标保证金以信封密封加盖单位公章，并注明单位名称。</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3A447A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2785C6A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5B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704F3A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7BCE430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05C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357D46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2CBB4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eastAsiaTheme="minorEastAsia"/>
                <w:szCs w:val="24"/>
                <w:lang w:val="en-US" w:eastAsia="zh-CN"/>
              </w:rPr>
            </w:pPr>
            <w:r>
              <w:rPr>
                <w:rFonts w:hint="eastAsia"/>
                <w:szCs w:val="24"/>
              </w:rPr>
              <w:t>1.</w:t>
            </w:r>
            <w:r>
              <w:rPr>
                <w:rFonts w:hint="eastAsia"/>
                <w:szCs w:val="24"/>
                <w:lang w:val="en-US" w:eastAsia="zh-CN"/>
              </w:rPr>
              <w:t>0</w:t>
            </w:r>
          </w:p>
        </w:tc>
      </w:tr>
      <w:tr w14:paraId="46F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D8AF23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762B961F">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0.7</w:t>
            </w:r>
          </w:p>
        </w:tc>
      </w:tr>
    </w:tbl>
    <w:p w14:paraId="231D819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327E82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160F4B5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4D3686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七、现场勘察</w:t>
      </w:r>
    </w:p>
    <w:p w14:paraId="72B3588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投标人需自行进行现场实地勘察。招标文件中的项目内容仅为校方提供的参考材料，投标人应基于现场勘察结果进行报价。报名即视为投标人已完成现场勘察，后续所有相关问题由其自行承担。 </w:t>
      </w:r>
    </w:p>
    <w:p w14:paraId="574B105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勘察地点:重庆财经学院。  </w:t>
      </w:r>
    </w:p>
    <w:p w14:paraId="4B56EC2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勘察联系人：蔡老师，电话：15023937816</w:t>
      </w:r>
    </w:p>
    <w:p w14:paraId="39397CA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717F40D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color w:val="0000FF"/>
          <w:highlight w:val="none"/>
        </w:rPr>
      </w:pPr>
      <w:bookmarkStart w:id="1" w:name="_Toc481694468"/>
      <w:bookmarkStart w:id="2" w:name="_Toc287607744"/>
      <w:bookmarkStart w:id="3" w:name="_Toc531594734"/>
      <w:bookmarkStart w:id="4" w:name="_Toc224103315"/>
      <w:bookmarkStart w:id="5" w:name="_Toc30163"/>
      <w:bookmarkStart w:id="6" w:name="_Toc484637073"/>
      <w:bookmarkStart w:id="7" w:name="_Toc24060"/>
      <w:r>
        <w:rPr>
          <w:rFonts w:ascii="Times New Roman" w:hAnsi="Times New Roman" w:eastAsia="方正小标宋_GBK" w:cs="Times New Roman"/>
          <w:highlight w:val="none"/>
        </w:rPr>
        <w:t xml:space="preserve">第二章 </w:t>
      </w:r>
      <w:r>
        <w:rPr>
          <w:rFonts w:ascii="Times New Roman" w:hAnsi="Times New Roman" w:eastAsia="方正小标宋_GBK" w:cs="Times New Roman"/>
          <w:color w:val="auto"/>
          <w:highlight w:val="none"/>
        </w:rPr>
        <w:t>投标人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1"/>
      <w:bookmarkEnd w:id="2"/>
      <w:bookmarkEnd w:id="3"/>
      <w:bookmarkEnd w:id="4"/>
      <w:bookmarkEnd w:id="5"/>
      <w:bookmarkEnd w:id="6"/>
      <w:bookmarkEnd w:id="7"/>
    </w:p>
    <w:p w14:paraId="0C4B8DDB">
      <w:pPr>
        <w:rPr>
          <w:rFonts w:ascii="Times New Roman" w:hAnsi="Times New Roman" w:cs="Times New Roman"/>
          <w:highlight w:val="none"/>
        </w:rPr>
      </w:pPr>
    </w:p>
    <w:p w14:paraId="498DD257">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重庆财经学院2026年暑期校园设施维修整改项目（</w:t>
            </w:r>
            <w:r>
              <w:rPr>
                <w:rFonts w:hint="eastAsia" w:ascii="Times New Roman" w:hAnsi="Times New Roman" w:eastAsia="方正仿宋_GBK" w:cs="Times New Roman"/>
                <w:sz w:val="28"/>
                <w:szCs w:val="28"/>
                <w:highlight w:val="none"/>
                <w:lang w:eastAsia="zh-CN"/>
              </w:rPr>
              <w:t>足球场部分</w:t>
            </w:r>
            <w:r>
              <w:rPr>
                <w:rFonts w:hint="eastAsia" w:ascii="Times New Roman" w:hAnsi="Times New Roman" w:eastAsia="方正仿宋_GBK" w:cs="Times New Roman"/>
                <w:sz w:val="28"/>
                <w:szCs w:val="28"/>
                <w:highlight w:val="none"/>
              </w:rPr>
              <w:t>）</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293308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25DB09F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5F1B4524">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28"/>
                <w:highlight w:val="none"/>
              </w:rPr>
              <w:t>交货</w:t>
            </w:r>
            <w:r>
              <w:rPr>
                <w:rFonts w:hint="eastAsia" w:ascii="Times New Roman" w:hAnsi="Times New Roman" w:eastAsia="方正仿宋_GBK" w:cs="Times New Roman"/>
                <w:sz w:val="28"/>
                <w:szCs w:val="28"/>
                <w:highlight w:val="none"/>
                <w:lang w:eastAsia="zh-CN"/>
              </w:rPr>
              <w:t>地点</w:t>
            </w:r>
          </w:p>
          <w:p w14:paraId="305E3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：重庆财经学院指定位置。</w:t>
            </w:r>
          </w:p>
          <w:p w14:paraId="19053D9B">
            <w:pPr>
              <w:spacing w:line="400" w:lineRule="exac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2.交货时间：</w:t>
            </w:r>
            <w:r>
              <w:rPr>
                <w:rFonts w:hint="eastAsia" w:ascii="Times New Roman" w:hAnsi="Times New Roman" w:eastAsia="方正仿宋_GBK" w:cs="Times New Roman"/>
                <w:sz w:val="28"/>
                <w:szCs w:val="28"/>
                <w:highlight w:val="none"/>
                <w:lang w:val="en-US" w:eastAsia="zh-CN"/>
              </w:rPr>
              <w:t>具备进场条件后，双方书面确认进场施工之日作为工程项目开工之日，其工期为 30天。</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5BA584A4">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以合同为准</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4757D608">
            <w:pPr>
              <w:numPr>
                <w:ilvl w:val="0"/>
                <w:numId w:val="0"/>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工程质保期为工程验收合格后两年，防水工程五年，工程无质量问题，达到国家现行有关施工质量验收规范要求，并达到合格标准。本项目要求一次性验收合格。</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21A0248E">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以合同为准。</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2F3EEB36">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以合同为准。</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122D252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5CFF0C8C">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0EB76124">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3.投标人具有依法缴纳税收和社会保障资金的良好记录；</w:t>
            </w:r>
          </w:p>
          <w:p w14:paraId="592B461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524942C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4F2EEC63">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6.投标方需提供2023年1月1日以来由投标人签署的相关项目合同复印件（单个合同金额至少40万元）及类似项目履约能力证明材料；</w:t>
            </w:r>
          </w:p>
          <w:p w14:paraId="62E8653F">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7.本次招标要求投标人具备的资质条件：具备建设行政主管部门颁发的有效的建筑工程施工总承包三级及以上资质或建筑装修装饰工程专业承包二级及以上资质。</w:t>
            </w:r>
          </w:p>
          <w:p w14:paraId="0403550B">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8.具有完善的质量保证和售后服务体系。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eastAsia="zh-CN"/>
              </w:rPr>
              <w:t>蔡</w:t>
            </w:r>
            <w:r>
              <w:rPr>
                <w:rFonts w:hint="eastAsia" w:ascii="Times New Roman" w:hAnsi="Times New Roman" w:eastAsia="方正仿宋_GBK" w:cs="Times New Roman"/>
                <w:sz w:val="28"/>
                <w:szCs w:val="28"/>
                <w:highlight w:val="none"/>
              </w:rPr>
              <w:t>老师</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电话：15023937816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6557EA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08E4D38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2026年7月9日</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54289A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EFE48D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1C3CFB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0675613">
            <w:pPr>
              <w:spacing w:line="400" w:lineRule="exac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1.报价范围：投标人的投标报价应是本章投标人须知前附表1.3.1项中所述的全部内容的投标报价，如果有任何遗漏，均被视为投标人已经在其投标总价中考虑。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2</w:t>
            </w:r>
            <w:r>
              <w:rPr>
                <w:rFonts w:hint="eastAsia" w:ascii="Times New Roman" w:hAnsi="Times New Roman" w:eastAsia="方正仿宋_GBK" w:cs="Times New Roman"/>
                <w:sz w:val="28"/>
                <w:szCs w:val="28"/>
                <w:highlight w:val="none"/>
              </w:rPr>
              <w:t>.本项目采用固定总价包干报价模式，实行总价包干</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项目包干总价包含完成本项目全部施工内容、验收交付、缺陷修复全过程的所有费用，涵盖人工、主材、辅材、机械设备、安装施工、运输搬运、检测检验、材料采保、施工损耗、安全文明施工、各项措施费用、管理费、利润、规费、税金、各类市场风险及政策风险等一切相关费用，合同履行期内不作任何调整。</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332717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183BCE1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495E766A">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47F19879">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1A733D3D">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52011A7C">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0F61F24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3B981822">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ascii="Times New Roman" w:hAnsi="Times New Roman" w:eastAsia="方正仿宋_GBK" w:cs="Times New Roman"/>
                <w:sz w:val="28"/>
                <w:szCs w:val="28"/>
                <w:highlight w:val="none"/>
              </w:rPr>
              <w:t>财务报表（包括资产负债表、利润表和现金流量表）</w:t>
            </w:r>
          </w:p>
          <w:p w14:paraId="53C253DE">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hint="eastAsia" w:ascii="Times New Roman" w:hAnsi="Times New Roman" w:eastAsia="方正仿宋_GBK" w:cs="Times New Roman"/>
                <w:sz w:val="28"/>
                <w:szCs w:val="28"/>
                <w:highlight w:val="none"/>
                <w:lang w:val="en-US" w:eastAsia="zh-CN"/>
              </w:rPr>
              <w:t>纳税、社保证明</w:t>
            </w:r>
          </w:p>
          <w:p w14:paraId="33B89B36">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54E2ACBD">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709A714">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7073FC4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627ACD1">
            <w:pPr>
              <w:spacing w:line="400" w:lineRule="exact"/>
              <w:rPr>
                <w:rFonts w:hint="eastAsia"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重庆财经学院2026年暑期校园设施维修整改项目（</w:t>
            </w:r>
            <w:r>
              <w:rPr>
                <w:rFonts w:hint="eastAsia" w:ascii="Times New Roman" w:hAnsi="Times New Roman" w:eastAsia="方正仿宋_GBK" w:cs="Times New Roman"/>
                <w:sz w:val="28"/>
                <w:szCs w:val="28"/>
                <w:highlight w:val="none"/>
                <w:lang w:eastAsia="zh-CN"/>
              </w:rPr>
              <w:t>足球场部分</w:t>
            </w:r>
            <w:r>
              <w:rPr>
                <w:rFonts w:hint="eastAsia" w:ascii="Times New Roman" w:hAnsi="Times New Roman" w:eastAsia="方正仿宋_GBK" w:cs="Times New Roman"/>
                <w:sz w:val="28"/>
                <w:szCs w:val="28"/>
                <w:highlight w:val="none"/>
              </w:rPr>
              <w:t>）</w:t>
            </w:r>
          </w:p>
          <w:p w14:paraId="42A9939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7E8EC23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0D4CA3B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3E49C500">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6C88D344">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color w:val="auto"/>
                <w:sz w:val="28"/>
                <w:szCs w:val="28"/>
                <w:highlight w:val="none"/>
              </w:rPr>
              <w:t>1.投标人收到中标通知书3天后，投标保证金自动转为履约保证金，履约保证金按不超过合同金额的10%收取，多退少补（无息）。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本项目从签订合同起，</w:t>
            </w:r>
            <w:r>
              <w:rPr>
                <w:rFonts w:ascii="Times New Roman" w:hAnsi="Times New Roman" w:eastAsia="方正仿宋_GBK" w:cs="Times New Roman"/>
                <w:color w:val="auto"/>
                <w:sz w:val="28"/>
                <w:szCs w:val="28"/>
                <w:highlight w:val="none"/>
              </w:rPr>
              <w:t>中标方应按照招标方的要求将</w:t>
            </w:r>
            <w:r>
              <w:rPr>
                <w:rFonts w:hint="eastAsia" w:ascii="Times New Roman" w:hAnsi="Times New Roman" w:eastAsia="方正仿宋_GBK" w:cs="Times New Roman"/>
                <w:color w:val="auto"/>
                <w:sz w:val="28"/>
                <w:szCs w:val="28"/>
                <w:highlight w:val="none"/>
                <w:lang w:val="en-US" w:eastAsia="zh-CN"/>
              </w:rPr>
              <w:t>所有</w:t>
            </w:r>
            <w:r>
              <w:rPr>
                <w:rFonts w:hint="eastAsia" w:ascii="Times New Roman" w:hAnsi="Times New Roman" w:eastAsia="方正仿宋_GBK" w:cs="Times New Roman"/>
                <w:color w:val="auto"/>
                <w:sz w:val="28"/>
                <w:szCs w:val="28"/>
                <w:highlight w:val="none"/>
                <w:lang w:eastAsia="zh-CN"/>
              </w:rPr>
              <w:t>维修项完成</w:t>
            </w:r>
            <w:r>
              <w:rPr>
                <w:rFonts w:ascii="Times New Roman" w:hAnsi="Times New Roman" w:eastAsia="方正仿宋_GBK" w:cs="Times New Roman"/>
                <w:color w:val="auto"/>
                <w:sz w:val="28"/>
                <w:szCs w:val="28"/>
                <w:highlight w:val="none"/>
              </w:rPr>
              <w:t>。若规定时间内中标方未能完成本项目，招标人有权不退还履约保证金并追究中标方的责任。</w:t>
            </w:r>
            <w:r>
              <w:rPr>
                <w:color w:val="auto"/>
              </w:rPr>
              <w:commentReference w:id="0"/>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9F7C556">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：按合同要求所有项目完成、验收合格并履行完验收手续后，甲方通知乙方开具全额正规税务发票并同时提供汇款单位名称、帐号、开户行等，并按相关程度进行款项支付。</w:t>
            </w:r>
          </w:p>
          <w:p w14:paraId="13916BA7">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p>
          <w:p w14:paraId="70F420D7">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1.项目验收合格后，30个工作日内支付60%合同款；</w:t>
            </w:r>
          </w:p>
          <w:p w14:paraId="0BC35A24">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2.首付款一年后，招标人支付合同款的30%；</w:t>
            </w:r>
          </w:p>
          <w:p w14:paraId="37FD87EF">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3.质保期满后，招标人支付10%的剩余合同款（无息）</w:t>
            </w:r>
          </w:p>
          <w:p w14:paraId="0804B4EF">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3.结算原则：</w:t>
            </w:r>
          </w:p>
          <w:p w14:paraId="0871DDA3">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（1）结算价款＝签约合同价±甲方认定的变更签证价款－违约金（如有）-其他（如有）。</w:t>
            </w:r>
          </w:p>
          <w:p w14:paraId="46810557">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（2）设计变更及调整、施工过程中出现新增项目（含招标范围以外的项目）由中标人在该变更、新增项目启动前向招标人提出，经招标人审核同意方可实施。计价方法如下：</w:t>
            </w:r>
          </w:p>
          <w:p w14:paraId="237C2343">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①中标人报价工程量清单中有相同清单项目，采用该项目的价款；</w:t>
            </w:r>
          </w:p>
          <w:p w14:paraId="74BF6724">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②中标人报价工程量清单中没有相同清单项目的，由双方协商确定该项目的价款。</w:t>
            </w:r>
          </w:p>
          <w:p w14:paraId="0C682C1E">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4.投标方已结合招标文件对现场有充分了解，对图纸中表示不完善之处已有充分认识，及应完成的工程内容以及因此而必须的措施费用均已包括在合同 各项单价中。</w:t>
            </w:r>
          </w:p>
          <w:p w14:paraId="0FE4002B">
            <w:pPr>
              <w:shd w:val="clear"/>
              <w:adjustRightInd w:val="0"/>
              <w:spacing w:line="400" w:lineRule="exact"/>
              <w:jc w:val="left"/>
              <w:textAlignment w:val="baseline"/>
              <w:rPr>
                <w:rFonts w:ascii="Times New Roman" w:hAnsi="Times New Roman" w:eastAsia="方正仿宋_GBK" w:cs="Times New Roman"/>
                <w:b/>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5.由于投标方深化后仍有不清不细，所发生的变更视同含在合同单价内，结算时不予调整。</w:t>
            </w:r>
          </w:p>
        </w:tc>
      </w:tr>
    </w:tbl>
    <w:p w14:paraId="7792B14A">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8" w:name="_Toc2637"/>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bookmarkEnd w:id="8"/>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 w:name="_Toc12010"/>
      <w:bookmarkStart w:id="10" w:name="_Toc531594736"/>
      <w:bookmarkStart w:id="11" w:name="_Toc334774165"/>
      <w:bookmarkStart w:id="12" w:name="_Toc27601"/>
      <w:r>
        <w:rPr>
          <w:rFonts w:ascii="Times New Roman" w:hAnsi="Times New Roman" w:eastAsia="方正仿宋_GBK" w:cs="Times New Roman"/>
          <w:b/>
          <w:kern w:val="0"/>
          <w:sz w:val="21"/>
          <w:szCs w:val="21"/>
          <w:highlight w:val="none"/>
        </w:rPr>
        <w:t>1.1 项目概况</w:t>
      </w:r>
      <w:bookmarkEnd w:id="9"/>
      <w:bookmarkEnd w:id="10"/>
      <w:bookmarkEnd w:id="11"/>
      <w:bookmarkEnd w:id="12"/>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 w:name="_Toc23631"/>
      <w:r>
        <w:rPr>
          <w:rFonts w:ascii="Times New Roman" w:hAnsi="Times New Roman" w:eastAsia="方正仿宋_GBK" w:cs="Times New Roman"/>
          <w:kern w:val="0"/>
          <w:sz w:val="21"/>
          <w:szCs w:val="21"/>
          <w:highlight w:val="none"/>
        </w:rPr>
        <w:t>1.1.1 根据</w:t>
      </w:r>
      <w:r>
        <w:rPr>
          <w:rFonts w:ascii="Times New Roman" w:hAnsi="Times New Roman" w:eastAsia="方正仿宋_GBK" w:cs="Times New Roman"/>
          <w:color w:val="auto"/>
          <w:kern w:val="0"/>
          <w:sz w:val="21"/>
          <w:szCs w:val="21"/>
          <w:highlight w:val="none"/>
        </w:rPr>
        <w:t>《</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bookmarkEnd w:id="13"/>
    </w:p>
    <w:p w14:paraId="18E39E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 w:name="_Toc12903"/>
      <w:bookmarkStart w:id="15" w:name="_Toc8901"/>
      <w:bookmarkStart w:id="16" w:name="_Toc334774168"/>
      <w:bookmarkStart w:id="17" w:name="_Toc325636584"/>
      <w:bookmarkStart w:id="18" w:name="_Toc531594739"/>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14"/>
    </w:p>
    <w:p w14:paraId="008D04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9" w:name="_Toc17751"/>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19"/>
    </w:p>
    <w:p w14:paraId="777A9B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 w:name="_Toc200513128"/>
      <w:bookmarkStart w:id="21" w:name="_Toc325636582"/>
      <w:bookmarkStart w:id="22" w:name="_Toc317863424"/>
      <w:bookmarkStart w:id="23" w:name="_Toc26892"/>
      <w:bookmarkStart w:id="24" w:name="_Toc31904"/>
      <w:bookmarkStart w:id="25" w:name="_Toc334774166"/>
      <w:bookmarkStart w:id="26" w:name="_Toc531594737"/>
      <w:r>
        <w:rPr>
          <w:rFonts w:ascii="Times New Roman" w:hAnsi="Times New Roman" w:eastAsia="方正仿宋_GBK" w:cs="Times New Roman"/>
          <w:b/>
          <w:color w:val="auto"/>
          <w:kern w:val="0"/>
          <w:sz w:val="21"/>
          <w:szCs w:val="21"/>
          <w:highlight w:val="none"/>
        </w:rPr>
        <w:t xml:space="preserve">1.2 </w:t>
      </w:r>
      <w:bookmarkEnd w:id="20"/>
      <w:bookmarkEnd w:id="21"/>
      <w:bookmarkEnd w:id="22"/>
      <w:r>
        <w:rPr>
          <w:rFonts w:ascii="Times New Roman" w:hAnsi="Times New Roman" w:eastAsia="方正仿宋_GBK" w:cs="Times New Roman"/>
          <w:b/>
          <w:color w:val="auto"/>
          <w:kern w:val="0"/>
          <w:sz w:val="21"/>
          <w:szCs w:val="21"/>
          <w:highlight w:val="none"/>
        </w:rPr>
        <w:t>资金来源和落实情况</w:t>
      </w:r>
      <w:bookmarkEnd w:id="23"/>
      <w:bookmarkEnd w:id="24"/>
      <w:bookmarkEnd w:id="25"/>
      <w:bookmarkEnd w:id="26"/>
    </w:p>
    <w:p w14:paraId="1FC26A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7" w:name="_Toc21457"/>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27"/>
    </w:p>
    <w:p w14:paraId="3D9D27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8" w:name="_Toc3975"/>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28"/>
    </w:p>
    <w:p w14:paraId="3D665A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9" w:name="_Toc317863425"/>
      <w:bookmarkStart w:id="30" w:name="_Toc200513129"/>
      <w:bookmarkStart w:id="31" w:name="_Toc21275"/>
      <w:bookmarkStart w:id="32" w:name="_Toc12101"/>
      <w:bookmarkStart w:id="33" w:name="_Toc531594738"/>
      <w:bookmarkStart w:id="34" w:name="_Toc334774167"/>
      <w:bookmarkStart w:id="35" w:name="_Toc325636583"/>
      <w:r>
        <w:rPr>
          <w:rFonts w:ascii="Times New Roman" w:hAnsi="Times New Roman" w:eastAsia="方正仿宋_GBK" w:cs="Times New Roman"/>
          <w:b/>
          <w:color w:val="auto"/>
          <w:kern w:val="0"/>
          <w:sz w:val="21"/>
          <w:szCs w:val="21"/>
          <w:highlight w:val="none"/>
        </w:rPr>
        <w:t>1.3 招标</w:t>
      </w:r>
      <w:bookmarkEnd w:id="29"/>
      <w:bookmarkEnd w:id="30"/>
      <w:r>
        <w:rPr>
          <w:rFonts w:ascii="Times New Roman" w:hAnsi="Times New Roman" w:eastAsia="方正仿宋_GBK" w:cs="Times New Roman"/>
          <w:b/>
          <w:color w:val="auto"/>
          <w:kern w:val="0"/>
          <w:sz w:val="21"/>
          <w:szCs w:val="21"/>
          <w:highlight w:val="none"/>
        </w:rPr>
        <w:t>内容</w:t>
      </w:r>
      <w:bookmarkEnd w:id="31"/>
      <w:bookmarkEnd w:id="32"/>
      <w:bookmarkEnd w:id="33"/>
      <w:bookmarkEnd w:id="34"/>
      <w:bookmarkEnd w:id="35"/>
    </w:p>
    <w:p w14:paraId="63D64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6" w:name="_Toc17048"/>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6"/>
    </w:p>
    <w:p w14:paraId="5D6E2B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7" w:name="_Toc12138"/>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7"/>
    </w:p>
    <w:p w14:paraId="3A89E5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8" w:name="_Toc14663"/>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8"/>
    </w:p>
    <w:p w14:paraId="453019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39" w:name="_Toc7332"/>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39"/>
    </w:p>
    <w:p w14:paraId="2ED204B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0" w:name="_Toc23007"/>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0"/>
    </w:p>
    <w:p w14:paraId="27566A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1" w:name="_Toc28074"/>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1"/>
    </w:p>
    <w:p w14:paraId="07BB2A5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2" w:name="_Toc2949"/>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bookmarkEnd w:id="42"/>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43" w:name="_Toc13097"/>
      <w:r>
        <w:rPr>
          <w:rFonts w:ascii="Times New Roman" w:hAnsi="Times New Roman" w:eastAsia="方正仿宋_GBK" w:cs="Times New Roman"/>
          <w:b/>
          <w:color w:val="auto"/>
          <w:kern w:val="0"/>
          <w:sz w:val="21"/>
          <w:szCs w:val="21"/>
          <w:highlight w:val="none"/>
        </w:rPr>
        <w:t>1.4 投标人资格要求</w:t>
      </w:r>
      <w:bookmarkEnd w:id="15"/>
      <w:bookmarkEnd w:id="16"/>
      <w:bookmarkEnd w:id="17"/>
      <w:bookmarkEnd w:id="18"/>
      <w:bookmarkEnd w:id="43"/>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4" w:name="_Toc20943"/>
      <w:r>
        <w:rPr>
          <w:rFonts w:ascii="Times New Roman" w:hAnsi="Times New Roman" w:eastAsia="方正仿宋_GBK" w:cs="Times New Roman"/>
          <w:color w:val="auto"/>
          <w:kern w:val="0"/>
          <w:sz w:val="21"/>
          <w:szCs w:val="21"/>
          <w:highlight w:val="none"/>
        </w:rPr>
        <w:t>1.4.1 投标人应具备承担本项目的资质条件、能力和信誉。</w:t>
      </w:r>
      <w:bookmarkEnd w:id="44"/>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5" w:name="_Toc10647"/>
      <w:r>
        <w:rPr>
          <w:rFonts w:ascii="Times New Roman" w:hAnsi="Times New Roman" w:eastAsia="方正仿宋_GBK" w:cs="Times New Roman"/>
          <w:color w:val="auto"/>
          <w:kern w:val="0"/>
          <w:sz w:val="21"/>
          <w:szCs w:val="21"/>
          <w:highlight w:val="none"/>
        </w:rPr>
        <w:t>1.4.2 本项目不接受联合体投标。</w:t>
      </w:r>
      <w:bookmarkEnd w:id="45"/>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6" w:name="_Toc27078"/>
      <w:r>
        <w:rPr>
          <w:rFonts w:ascii="Times New Roman" w:hAnsi="Times New Roman" w:eastAsia="方正仿宋_GBK" w:cs="Times New Roman"/>
          <w:color w:val="auto"/>
          <w:kern w:val="0"/>
          <w:sz w:val="21"/>
          <w:szCs w:val="21"/>
          <w:highlight w:val="none"/>
        </w:rPr>
        <w:t>1.4.3 投标人不得存在下列情形之一：</w:t>
      </w:r>
      <w:bookmarkEnd w:id="46"/>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7" w:name="_Toc27288"/>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bookmarkEnd w:id="47"/>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8" w:name="_Toc7217"/>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bookmarkEnd w:id="48"/>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49" w:name="_Toc17065"/>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bookmarkEnd w:id="49"/>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50" w:name="_Toc22312"/>
      <w:r>
        <w:rPr>
          <w:rFonts w:ascii="Times New Roman" w:hAnsi="Times New Roman" w:eastAsia="方正仿宋_GBK" w:cs="Times New Roman"/>
          <w:color w:val="auto"/>
          <w:kern w:val="0"/>
          <w:sz w:val="21"/>
          <w:szCs w:val="21"/>
          <w:highlight w:val="none"/>
        </w:rPr>
        <w:t>1.4.3.4 被有关行政部门暂停投标资格期限未满。</w:t>
      </w:r>
      <w:bookmarkEnd w:id="50"/>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1" w:name="_Toc17569"/>
      <w:bookmarkStart w:id="52" w:name="_Toc325636585"/>
      <w:bookmarkStart w:id="53" w:name="_Toc5348"/>
      <w:bookmarkStart w:id="54" w:name="_Toc334774169"/>
      <w:bookmarkStart w:id="55" w:name="_Toc531594740"/>
      <w:bookmarkStart w:id="56" w:name="_Toc317863427"/>
      <w:bookmarkStart w:id="57" w:name="_Toc200513132"/>
      <w:r>
        <w:rPr>
          <w:rFonts w:ascii="Times New Roman" w:hAnsi="Times New Roman" w:eastAsia="方正仿宋_GBK" w:cs="Times New Roman"/>
          <w:b/>
          <w:color w:val="auto"/>
          <w:kern w:val="0"/>
          <w:sz w:val="21"/>
          <w:szCs w:val="21"/>
          <w:highlight w:val="none"/>
        </w:rPr>
        <w:t>1.5 费用承担</w:t>
      </w:r>
      <w:bookmarkEnd w:id="51"/>
      <w:bookmarkEnd w:id="52"/>
      <w:bookmarkEnd w:id="53"/>
      <w:bookmarkEnd w:id="54"/>
      <w:bookmarkEnd w:id="55"/>
      <w:bookmarkEnd w:id="56"/>
      <w:bookmarkEnd w:id="57"/>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58" w:name="_Toc28982"/>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r>
        <w:rPr>
          <w:rFonts w:ascii="Times New Roman" w:hAnsi="Times New Roman" w:eastAsia="方正仿宋_GBK" w:cs="Times New Roman"/>
          <w:kern w:val="0"/>
          <w:sz w:val="21"/>
          <w:szCs w:val="21"/>
          <w:highlight w:val="none"/>
        </w:rPr>
        <w:t>。</w:t>
      </w:r>
      <w:bookmarkEnd w:id="58"/>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9" w:name="_Toc200513133"/>
      <w:bookmarkStart w:id="60" w:name="_Toc325636586"/>
      <w:bookmarkStart w:id="61" w:name="_Toc317863428"/>
      <w:bookmarkStart w:id="62" w:name="_Toc334774170"/>
      <w:bookmarkStart w:id="63" w:name="_Toc17945"/>
      <w:r>
        <w:rPr>
          <w:rFonts w:ascii="Times New Roman" w:hAnsi="Times New Roman" w:eastAsia="方正仿宋_GBK" w:cs="Times New Roman"/>
          <w:b/>
          <w:kern w:val="0"/>
          <w:sz w:val="21"/>
          <w:szCs w:val="21"/>
          <w:highlight w:val="none"/>
        </w:rPr>
        <w:t>1.6 保密</w:t>
      </w:r>
      <w:bookmarkEnd w:id="59"/>
      <w:bookmarkEnd w:id="60"/>
      <w:bookmarkEnd w:id="61"/>
      <w:bookmarkEnd w:id="62"/>
      <w:bookmarkEnd w:id="63"/>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64" w:name="_Toc19096"/>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bookmarkEnd w:id="64"/>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5" w:name="_Toc200513134"/>
      <w:bookmarkStart w:id="66" w:name="_Toc19952"/>
      <w:bookmarkStart w:id="67" w:name="_Toc531594741"/>
      <w:bookmarkStart w:id="68" w:name="_Toc12696"/>
      <w:bookmarkStart w:id="69" w:name="_Toc325636587"/>
      <w:bookmarkStart w:id="70" w:name="_Toc334774171"/>
      <w:bookmarkStart w:id="71" w:name="_Toc317863429"/>
      <w:r>
        <w:rPr>
          <w:rFonts w:ascii="Times New Roman" w:hAnsi="Times New Roman" w:eastAsia="方正仿宋_GBK" w:cs="Times New Roman"/>
          <w:b/>
          <w:kern w:val="0"/>
          <w:sz w:val="21"/>
          <w:szCs w:val="21"/>
          <w:highlight w:val="none"/>
        </w:rPr>
        <w:t>1.7 语言文字</w:t>
      </w:r>
      <w:bookmarkEnd w:id="65"/>
      <w:bookmarkEnd w:id="66"/>
      <w:bookmarkEnd w:id="67"/>
      <w:bookmarkEnd w:id="68"/>
      <w:bookmarkEnd w:id="69"/>
      <w:bookmarkEnd w:id="70"/>
      <w:bookmarkEnd w:id="71"/>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72" w:name="_Toc25939"/>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bookmarkEnd w:id="72"/>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73" w:name="_Toc16650"/>
      <w:bookmarkStart w:id="74" w:name="_Toc200513135"/>
      <w:bookmarkStart w:id="75" w:name="_Toc317863430"/>
      <w:bookmarkStart w:id="76" w:name="_Toc531594742"/>
      <w:bookmarkStart w:id="77" w:name="_Toc325636588"/>
      <w:bookmarkStart w:id="78" w:name="_Toc334774172"/>
      <w:bookmarkStart w:id="79" w:name="_Toc32092"/>
      <w:r>
        <w:rPr>
          <w:rFonts w:ascii="Times New Roman" w:hAnsi="Times New Roman" w:eastAsia="方正仿宋_GBK" w:cs="Times New Roman"/>
          <w:b/>
          <w:kern w:val="0"/>
          <w:sz w:val="21"/>
          <w:szCs w:val="21"/>
          <w:highlight w:val="none"/>
        </w:rPr>
        <w:t>1.8 计量单位</w:t>
      </w:r>
      <w:bookmarkEnd w:id="73"/>
      <w:bookmarkEnd w:id="74"/>
      <w:bookmarkEnd w:id="75"/>
      <w:bookmarkEnd w:id="76"/>
      <w:bookmarkEnd w:id="77"/>
      <w:bookmarkEnd w:id="78"/>
      <w:bookmarkEnd w:id="79"/>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80" w:name="_Toc4932"/>
      <w:r>
        <w:rPr>
          <w:rFonts w:ascii="Times New Roman" w:hAnsi="Times New Roman" w:eastAsia="方正仿宋_GBK" w:cs="Times New Roman"/>
          <w:kern w:val="0"/>
          <w:sz w:val="21"/>
          <w:szCs w:val="21"/>
          <w:highlight w:val="none"/>
        </w:rPr>
        <w:t>所有计量均采用中华人民共和国法定计量单位。</w:t>
      </w:r>
      <w:bookmarkEnd w:id="80"/>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1" w:name="_Toc26520"/>
      <w:bookmarkStart w:id="82" w:name="_Toc317863431"/>
      <w:bookmarkStart w:id="83" w:name="_Toc325636589"/>
      <w:bookmarkStart w:id="84" w:name="_Toc200513136"/>
      <w:bookmarkStart w:id="85" w:name="_Toc334774173"/>
      <w:bookmarkStart w:id="86" w:name="_Toc4213"/>
      <w:bookmarkStart w:id="87" w:name="_Toc531594743"/>
      <w:r>
        <w:rPr>
          <w:rFonts w:ascii="Times New Roman" w:hAnsi="Times New Roman" w:eastAsia="方正仿宋_GBK" w:cs="Times New Roman"/>
          <w:b/>
          <w:kern w:val="0"/>
          <w:sz w:val="21"/>
          <w:szCs w:val="21"/>
          <w:highlight w:val="none"/>
        </w:rPr>
        <w:t>1.9 踏勘现场</w:t>
      </w:r>
      <w:bookmarkEnd w:id="81"/>
      <w:bookmarkEnd w:id="82"/>
      <w:bookmarkEnd w:id="83"/>
      <w:bookmarkEnd w:id="84"/>
      <w:bookmarkEnd w:id="85"/>
      <w:bookmarkEnd w:id="86"/>
      <w:bookmarkEnd w:id="87"/>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88" w:name="_Toc4431"/>
      <w:r>
        <w:rPr>
          <w:rFonts w:ascii="Times New Roman" w:hAnsi="Times New Roman" w:eastAsia="方正仿宋_GBK" w:cs="Times New Roman"/>
          <w:kern w:val="0"/>
          <w:sz w:val="21"/>
          <w:szCs w:val="21"/>
          <w:highlight w:val="none"/>
        </w:rPr>
        <w:t>由投标人自行踏勘现场。</w:t>
      </w:r>
      <w:bookmarkEnd w:id="88"/>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89" w:name="_Toc17898"/>
      <w:r>
        <w:rPr>
          <w:rFonts w:ascii="Times New Roman" w:hAnsi="Times New Roman" w:eastAsia="方正仿宋_GBK" w:cs="Times New Roman"/>
          <w:b/>
          <w:kern w:val="0"/>
          <w:sz w:val="21"/>
          <w:szCs w:val="21"/>
          <w:highlight w:val="none"/>
        </w:rPr>
        <w:t>1.10 投标预备会</w:t>
      </w:r>
      <w:bookmarkEnd w:id="89"/>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90" w:name="_Toc24915"/>
      <w:r>
        <w:rPr>
          <w:rFonts w:ascii="Times New Roman" w:hAnsi="Times New Roman" w:eastAsia="方正仿宋_GBK" w:cs="Times New Roman"/>
          <w:kern w:val="0"/>
          <w:sz w:val="21"/>
          <w:szCs w:val="21"/>
          <w:highlight w:val="none"/>
        </w:rPr>
        <w:t>本项目不组织投标预备会。</w:t>
      </w:r>
      <w:bookmarkEnd w:id="90"/>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1" w:name="_Toc19903"/>
      <w:bookmarkStart w:id="92" w:name="_Toc531594746"/>
      <w:bookmarkStart w:id="93" w:name="_Toc334774176"/>
      <w:bookmarkStart w:id="94" w:name="_Toc325636593"/>
      <w:bookmarkStart w:id="95" w:name="_Toc1885"/>
      <w:bookmarkStart w:id="96" w:name="_Toc317863435"/>
      <w:r>
        <w:rPr>
          <w:rFonts w:ascii="Times New Roman" w:hAnsi="Times New Roman" w:eastAsia="方正仿宋_GBK" w:cs="Times New Roman"/>
          <w:b/>
          <w:kern w:val="0"/>
          <w:sz w:val="21"/>
          <w:szCs w:val="21"/>
          <w:highlight w:val="none"/>
        </w:rPr>
        <w:t>1.11 偏离</w:t>
      </w:r>
      <w:bookmarkEnd w:id="91"/>
      <w:bookmarkEnd w:id="92"/>
      <w:bookmarkEnd w:id="93"/>
      <w:bookmarkEnd w:id="94"/>
      <w:bookmarkEnd w:id="95"/>
      <w:bookmarkEnd w:id="96"/>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7" w:name="_Toc155"/>
      <w:r>
        <w:rPr>
          <w:rFonts w:ascii="Times New Roman" w:hAnsi="Times New Roman" w:eastAsia="方正仿宋_GBK" w:cs="Times New Roman"/>
          <w:kern w:val="0"/>
          <w:sz w:val="21"/>
          <w:szCs w:val="21"/>
          <w:highlight w:val="none"/>
        </w:rPr>
        <w:t>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知前附表允许投标文件偏离招标文件某些要求的，偏离应当符合招标文件规定的偏离范围和幅度。</w:t>
      </w:r>
      <w:bookmarkEnd w:id="97"/>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
      </w:pPr>
      <w:bookmarkStart w:id="98" w:name="_Toc778"/>
      <w:bookmarkStart w:id="99" w:name="_Toc531594747"/>
      <w:bookmarkStart w:id="100" w:name="_Toc317863436"/>
      <w:bookmarkStart w:id="101" w:name="_Toc334774177"/>
      <w:bookmarkStart w:id="102" w:name="_Toc5699"/>
      <w:bookmarkStart w:id="103" w:name="_Toc200513140"/>
      <w:r>
        <w:rPr>
          <w:rFonts w:ascii="Times New Roman" w:hAnsi="Times New Roman" w:eastAsia="方正楷体_GBK" w:cs="Times New Roman"/>
          <w:b/>
          <w:color w:val="auto"/>
          <w:w w:val="99"/>
          <w:kern w:val="0"/>
          <w:sz w:val="21"/>
          <w:szCs w:val="21"/>
          <w:highlight w:val="none"/>
          <w:lang w:val="zh-CN"/>
        </w:rPr>
        <w:t>2.招标文件</w:t>
      </w:r>
      <w:bookmarkEnd w:id="98"/>
      <w:bookmarkEnd w:id="99"/>
      <w:bookmarkEnd w:id="100"/>
      <w:bookmarkEnd w:id="101"/>
      <w:bookmarkEnd w:id="102"/>
      <w:bookmarkEnd w:id="103"/>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04" w:name="_Toc325636595"/>
      <w:bookmarkStart w:id="105" w:name="_Toc531594748"/>
      <w:bookmarkStart w:id="106" w:name="_Toc334774178"/>
      <w:bookmarkStart w:id="107" w:name="_Toc317863437"/>
      <w:bookmarkStart w:id="108" w:name="_Toc200513141"/>
      <w:bookmarkStart w:id="109" w:name="_Toc32194"/>
      <w:bookmarkStart w:id="110" w:name="_Toc18132"/>
      <w:r>
        <w:rPr>
          <w:rFonts w:ascii="Times New Roman" w:hAnsi="Times New Roman" w:eastAsia="方正仿宋_GBK" w:cs="Times New Roman"/>
          <w:b/>
          <w:kern w:val="0"/>
          <w:sz w:val="21"/>
          <w:szCs w:val="21"/>
          <w:highlight w:val="none"/>
        </w:rPr>
        <w:t>2.1 招标文件的组成</w:t>
      </w:r>
      <w:bookmarkEnd w:id="104"/>
      <w:bookmarkEnd w:id="105"/>
      <w:bookmarkEnd w:id="106"/>
      <w:bookmarkEnd w:id="107"/>
      <w:bookmarkEnd w:id="108"/>
      <w:bookmarkEnd w:id="109"/>
      <w:bookmarkEnd w:id="110"/>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1" w:name="_Toc16240"/>
      <w:r>
        <w:rPr>
          <w:rFonts w:ascii="Times New Roman" w:hAnsi="Times New Roman" w:eastAsia="方正仿宋_GBK" w:cs="Times New Roman"/>
          <w:kern w:val="0"/>
          <w:sz w:val="21"/>
          <w:szCs w:val="21"/>
          <w:highlight w:val="none"/>
        </w:rPr>
        <w:t>本招标文件包括：</w:t>
      </w:r>
      <w:bookmarkEnd w:id="111"/>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2" w:name="_Toc23009"/>
      <w:r>
        <w:rPr>
          <w:rFonts w:ascii="Times New Roman" w:hAnsi="Times New Roman" w:eastAsia="方正仿宋_GBK" w:cs="Times New Roman"/>
          <w:kern w:val="0"/>
          <w:sz w:val="21"/>
          <w:szCs w:val="21"/>
          <w:highlight w:val="none"/>
        </w:rPr>
        <w:t>（1）招标公告；</w:t>
      </w:r>
      <w:bookmarkEnd w:id="112"/>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3" w:name="_Toc21556"/>
      <w:r>
        <w:rPr>
          <w:rFonts w:ascii="Times New Roman" w:hAnsi="Times New Roman" w:eastAsia="方正仿宋_GBK" w:cs="Times New Roman"/>
          <w:kern w:val="0"/>
          <w:sz w:val="21"/>
          <w:szCs w:val="21"/>
          <w:highlight w:val="none"/>
        </w:rPr>
        <w:t>（2）投标人须知；</w:t>
      </w:r>
      <w:bookmarkEnd w:id="113"/>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4" w:name="_Toc17653"/>
      <w:r>
        <w:rPr>
          <w:rFonts w:ascii="Times New Roman" w:hAnsi="Times New Roman" w:eastAsia="方正仿宋_GBK" w:cs="Times New Roman"/>
          <w:kern w:val="0"/>
          <w:sz w:val="21"/>
          <w:szCs w:val="21"/>
          <w:highlight w:val="none"/>
        </w:rPr>
        <w:t>（3）技术标准和要求；</w:t>
      </w:r>
      <w:bookmarkEnd w:id="114"/>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15" w:name="_Toc23924"/>
      <w:r>
        <w:rPr>
          <w:rFonts w:ascii="Times New Roman" w:hAnsi="Times New Roman" w:eastAsia="方正仿宋_GBK" w:cs="Times New Roman"/>
          <w:color w:val="auto"/>
          <w:kern w:val="0"/>
          <w:sz w:val="21"/>
          <w:szCs w:val="21"/>
          <w:highlight w:val="none"/>
        </w:rPr>
        <w:t>（4）评标办法；</w:t>
      </w:r>
      <w:bookmarkEnd w:id="115"/>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6" w:name="_Toc30175"/>
      <w:r>
        <w:rPr>
          <w:rFonts w:ascii="Times New Roman" w:hAnsi="Times New Roman" w:eastAsia="方正仿宋_GBK" w:cs="Times New Roman"/>
          <w:kern w:val="0"/>
          <w:sz w:val="21"/>
          <w:szCs w:val="21"/>
          <w:highlight w:val="none"/>
        </w:rPr>
        <w:t>（5）投标文件格式；</w:t>
      </w:r>
      <w:bookmarkEnd w:id="116"/>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17" w:name="_Toc24662"/>
      <w:r>
        <w:rPr>
          <w:rFonts w:ascii="Times New Roman" w:hAnsi="Times New Roman" w:eastAsia="方正仿宋_GBK" w:cs="Times New Roman"/>
          <w:kern w:val="0"/>
          <w:sz w:val="21"/>
          <w:szCs w:val="21"/>
          <w:highlight w:val="none"/>
        </w:rPr>
        <w:t>根据本章第1.10款、第2.2款和第2.3款对招标文</w:t>
      </w:r>
      <w:r>
        <w:rPr>
          <w:rFonts w:ascii="Times New Roman" w:hAnsi="Times New Roman" w:eastAsia="方正仿宋_GBK" w:cs="Times New Roman"/>
          <w:color w:val="auto"/>
          <w:kern w:val="0"/>
          <w:sz w:val="21"/>
          <w:szCs w:val="21"/>
          <w:highlight w:val="none"/>
        </w:rPr>
        <w:t>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w:t>
      </w:r>
      <w:r>
        <w:rPr>
          <w:rFonts w:ascii="Times New Roman" w:hAnsi="Times New Roman" w:eastAsia="方正仿宋_GBK" w:cs="Times New Roman"/>
          <w:kern w:val="0"/>
          <w:sz w:val="21"/>
          <w:szCs w:val="21"/>
          <w:highlight w:val="none"/>
        </w:rPr>
        <w:t>清、修改，构成招标文件的组成部分。</w:t>
      </w:r>
      <w:bookmarkEnd w:id="117"/>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8" w:name="_Toc317863438"/>
      <w:bookmarkStart w:id="119" w:name="_Toc334774179"/>
      <w:bookmarkStart w:id="120" w:name="_Toc200513142"/>
      <w:bookmarkStart w:id="121" w:name="_Toc325636596"/>
      <w:bookmarkStart w:id="122" w:name="_Toc13635"/>
      <w:bookmarkStart w:id="123" w:name="_Toc14710"/>
      <w:bookmarkStart w:id="124" w:name="_Toc531594749"/>
      <w:r>
        <w:rPr>
          <w:rFonts w:ascii="Times New Roman" w:hAnsi="Times New Roman" w:eastAsia="方正仿宋_GBK" w:cs="Times New Roman"/>
          <w:b/>
          <w:kern w:val="0"/>
          <w:sz w:val="21"/>
          <w:szCs w:val="21"/>
          <w:highlight w:val="none"/>
        </w:rPr>
        <w:t xml:space="preserve">2.2 </w:t>
      </w:r>
      <w:bookmarkEnd w:id="118"/>
      <w:bookmarkEnd w:id="119"/>
      <w:bookmarkEnd w:id="120"/>
      <w:bookmarkEnd w:id="121"/>
      <w:r>
        <w:rPr>
          <w:rFonts w:ascii="Times New Roman" w:hAnsi="Times New Roman" w:eastAsia="方正仿宋_GBK" w:cs="Times New Roman"/>
          <w:b/>
          <w:kern w:val="0"/>
          <w:sz w:val="21"/>
          <w:szCs w:val="21"/>
          <w:highlight w:val="none"/>
        </w:rPr>
        <w:t>对招标文件的疑问</w:t>
      </w:r>
      <w:bookmarkEnd w:id="122"/>
      <w:bookmarkEnd w:id="123"/>
      <w:bookmarkEnd w:id="124"/>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25" w:name="_Toc2426"/>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bookmarkEnd w:id="125"/>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6" w:name="_Toc531594750"/>
      <w:bookmarkStart w:id="127" w:name="_Toc22646"/>
      <w:bookmarkStart w:id="128" w:name="_Toc29041"/>
      <w:r>
        <w:rPr>
          <w:rFonts w:ascii="Times New Roman" w:hAnsi="Times New Roman" w:eastAsia="方正仿宋_GBK" w:cs="Times New Roman"/>
          <w:b/>
          <w:kern w:val="0"/>
          <w:sz w:val="21"/>
          <w:szCs w:val="21"/>
          <w:highlight w:val="none"/>
        </w:rPr>
        <w:t>2.3 招标文件的澄清、修改和答疑</w:t>
      </w:r>
      <w:bookmarkEnd w:id="126"/>
      <w:bookmarkEnd w:id="127"/>
      <w:bookmarkEnd w:id="128"/>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29" w:name="_Toc31449"/>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bookmarkEnd w:id="129"/>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0" w:name="_Toc16477"/>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bookmarkEnd w:id="130"/>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1" w:name="_Toc6590"/>
      <w:bookmarkStart w:id="132" w:name="_Toc531594751"/>
      <w:bookmarkStart w:id="133" w:name="_Toc18374"/>
      <w:r>
        <w:rPr>
          <w:rFonts w:ascii="Times New Roman" w:hAnsi="Times New Roman" w:eastAsia="方正楷体_GBK" w:cs="Times New Roman"/>
          <w:b/>
          <w:color w:val="auto"/>
          <w:w w:val="99"/>
          <w:kern w:val="0"/>
          <w:sz w:val="21"/>
          <w:szCs w:val="21"/>
          <w:highlight w:val="none"/>
          <w:lang w:val="zh-CN"/>
        </w:rPr>
        <w:t>3.投标文件</w:t>
      </w:r>
      <w:bookmarkEnd w:id="131"/>
      <w:bookmarkEnd w:id="132"/>
      <w:bookmarkEnd w:id="133"/>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4" w:name="_Toc334774182"/>
      <w:bookmarkStart w:id="135" w:name="_Toc317863441"/>
      <w:bookmarkStart w:id="136" w:name="_Toc531594752"/>
      <w:bookmarkStart w:id="137" w:name="_Toc19286"/>
      <w:bookmarkStart w:id="138" w:name="_Toc325636599"/>
      <w:bookmarkStart w:id="139" w:name="_Toc16382"/>
      <w:bookmarkStart w:id="140" w:name="_Toc200513145"/>
      <w:r>
        <w:rPr>
          <w:rFonts w:ascii="Times New Roman" w:hAnsi="Times New Roman" w:eastAsia="方正仿宋_GBK" w:cs="Times New Roman"/>
          <w:b/>
          <w:color w:val="auto"/>
          <w:kern w:val="0"/>
          <w:sz w:val="21"/>
          <w:szCs w:val="21"/>
          <w:highlight w:val="none"/>
        </w:rPr>
        <w:t>3.1 投标文件的组成</w:t>
      </w:r>
      <w:bookmarkEnd w:id="134"/>
      <w:bookmarkEnd w:id="135"/>
      <w:bookmarkEnd w:id="136"/>
      <w:bookmarkEnd w:id="137"/>
      <w:bookmarkEnd w:id="138"/>
      <w:bookmarkEnd w:id="139"/>
      <w:bookmarkEnd w:id="140"/>
    </w:p>
    <w:p w14:paraId="1735B1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1" w:name="_Toc25983"/>
      <w:r>
        <w:rPr>
          <w:rFonts w:ascii="Times New Roman" w:hAnsi="Times New Roman" w:eastAsia="方正仿宋_GBK" w:cs="Times New Roman"/>
          <w:color w:val="auto"/>
          <w:kern w:val="0"/>
          <w:sz w:val="21"/>
          <w:szCs w:val="21"/>
          <w:highlight w:val="none"/>
        </w:rPr>
        <w:t>3.1.1 投标函</w:t>
      </w:r>
      <w:bookmarkEnd w:id="141"/>
    </w:p>
    <w:p w14:paraId="01D4D5B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2" w:name="_Toc24042"/>
      <w:r>
        <w:rPr>
          <w:rFonts w:ascii="Times New Roman" w:hAnsi="Times New Roman" w:eastAsia="方正仿宋_GBK" w:cs="Times New Roman"/>
          <w:color w:val="auto"/>
          <w:kern w:val="0"/>
          <w:sz w:val="21"/>
          <w:szCs w:val="21"/>
          <w:highlight w:val="none"/>
        </w:rPr>
        <w:t>3.1.2 法定代表人身份证明及授权委托书</w:t>
      </w:r>
      <w:bookmarkEnd w:id="142"/>
    </w:p>
    <w:p w14:paraId="5D17E9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3" w:name="_Toc25808"/>
      <w:r>
        <w:rPr>
          <w:rFonts w:ascii="Times New Roman" w:hAnsi="Times New Roman" w:eastAsia="方正仿宋_GBK" w:cs="Times New Roman"/>
          <w:color w:val="auto"/>
          <w:kern w:val="0"/>
          <w:sz w:val="21"/>
          <w:szCs w:val="21"/>
          <w:highlight w:val="none"/>
        </w:rPr>
        <w:t>3.1.3 投标人基本情况表</w:t>
      </w:r>
      <w:bookmarkEnd w:id="143"/>
    </w:p>
    <w:p w14:paraId="797633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4" w:name="_Toc16093"/>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bookmarkEnd w:id="144"/>
    </w:p>
    <w:p w14:paraId="46A2460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5" w:name="_Toc26347"/>
      <w:r>
        <w:rPr>
          <w:rFonts w:ascii="Times New Roman" w:hAnsi="Times New Roman" w:eastAsia="方正仿宋_GBK" w:cs="Times New Roman"/>
          <w:color w:val="auto"/>
          <w:kern w:val="0"/>
          <w:sz w:val="21"/>
          <w:szCs w:val="21"/>
          <w:highlight w:val="none"/>
        </w:rPr>
        <w:t>3.1.5 相关资质证明及承诺</w:t>
      </w:r>
      <w:bookmarkEnd w:id="145"/>
    </w:p>
    <w:p w14:paraId="5A668CD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6" w:name="_Toc1229"/>
      <w:r>
        <w:rPr>
          <w:rFonts w:ascii="Times New Roman" w:hAnsi="Times New Roman" w:eastAsia="方正仿宋_GBK" w:cs="Times New Roman"/>
          <w:color w:val="auto"/>
          <w:kern w:val="0"/>
          <w:sz w:val="21"/>
          <w:szCs w:val="21"/>
          <w:highlight w:val="none"/>
        </w:rPr>
        <w:t>3.1.6 售后服务</w:t>
      </w:r>
      <w:bookmarkEnd w:id="146"/>
    </w:p>
    <w:p w14:paraId="2B35A9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7" w:name="_Toc32497"/>
      <w:r>
        <w:rPr>
          <w:rFonts w:ascii="Times New Roman" w:hAnsi="Times New Roman" w:eastAsia="方正仿宋_GBK" w:cs="Times New Roman"/>
          <w:color w:val="auto"/>
          <w:kern w:val="0"/>
          <w:sz w:val="21"/>
          <w:szCs w:val="21"/>
          <w:highlight w:val="none"/>
        </w:rPr>
        <w:t>3.1.7 投标业绩一览表</w:t>
      </w:r>
      <w:bookmarkEnd w:id="147"/>
    </w:p>
    <w:p w14:paraId="23CC59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8" w:name="_Toc4952"/>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rPr>
        <w:t>年度</w:t>
      </w:r>
      <w:r>
        <w:rPr>
          <w:rFonts w:ascii="Times New Roman" w:hAnsi="Times New Roman" w:eastAsia="方正仿宋_GBK" w:cs="Times New Roman"/>
          <w:color w:val="auto"/>
          <w:kern w:val="0"/>
          <w:sz w:val="21"/>
          <w:szCs w:val="21"/>
          <w:highlight w:val="none"/>
        </w:rPr>
        <w:t>财务报表（包括资产负债表、利润表和现金流量表）</w:t>
      </w:r>
      <w:bookmarkEnd w:id="148"/>
    </w:p>
    <w:p w14:paraId="21ECDF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49" w:name="_Toc4892"/>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rPr>
        <w:t>年度</w:t>
      </w:r>
      <w:r>
        <w:rPr>
          <w:rFonts w:hint="eastAsia" w:ascii="Times New Roman" w:hAnsi="Times New Roman" w:eastAsia="方正仿宋_GBK" w:cs="Times New Roman"/>
          <w:color w:val="auto"/>
          <w:kern w:val="0"/>
          <w:sz w:val="21"/>
          <w:szCs w:val="21"/>
          <w:highlight w:val="none"/>
          <w:lang w:val="en-US" w:eastAsia="zh-CN"/>
        </w:rPr>
        <w:t>纳税、社保证明</w:t>
      </w:r>
      <w:bookmarkEnd w:id="149"/>
    </w:p>
    <w:p w14:paraId="69D38D0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bookmarkStart w:id="150" w:name="_Toc19607"/>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bookmarkEnd w:id="150"/>
    </w:p>
    <w:p w14:paraId="7FD88D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51" w:name="_Toc26304"/>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bookmarkEnd w:id="151"/>
    </w:p>
    <w:p w14:paraId="1C3E38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52" w:name="_Toc12713"/>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bookmarkEnd w:id="152"/>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3" w:name="_Toc32053"/>
      <w:r>
        <w:rPr>
          <w:rFonts w:ascii="Times New Roman" w:hAnsi="Times New Roman" w:eastAsia="方正仿宋_GBK" w:cs="Times New Roman"/>
          <w:b/>
          <w:color w:val="auto"/>
          <w:kern w:val="0"/>
          <w:sz w:val="21"/>
          <w:szCs w:val="21"/>
          <w:highlight w:val="none"/>
        </w:rPr>
        <w:t>3.2 投标报价</w:t>
      </w:r>
      <w:bookmarkEnd w:id="153"/>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54" w:name="_Toc27759"/>
      <w:r>
        <w:rPr>
          <w:rFonts w:ascii="Times New Roman" w:hAnsi="Times New Roman" w:eastAsia="方正仿宋_GBK" w:cs="Times New Roman"/>
          <w:color w:val="auto"/>
          <w:kern w:val="0"/>
          <w:sz w:val="21"/>
          <w:szCs w:val="21"/>
          <w:highlight w:val="none"/>
        </w:rPr>
        <w:t>3.2.1 投标人应按投标人须知前附表及其相关规定填</w:t>
      </w:r>
      <w:r>
        <w:rPr>
          <w:rFonts w:ascii="Times New Roman" w:hAnsi="Times New Roman" w:eastAsia="方正仿宋_GBK" w:cs="Times New Roman"/>
          <w:kern w:val="0"/>
          <w:sz w:val="21"/>
          <w:szCs w:val="21"/>
          <w:highlight w:val="none"/>
        </w:rPr>
        <w:t>报。</w:t>
      </w:r>
      <w:bookmarkEnd w:id="154"/>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55" w:name="_Toc12196"/>
      <w:bookmarkStart w:id="156" w:name="_Toc200513147"/>
      <w:bookmarkStart w:id="157" w:name="_Toc317863443"/>
      <w:bookmarkStart w:id="158" w:name="_Toc334774184"/>
      <w:bookmarkStart w:id="159" w:name="_Toc325636601"/>
      <w:bookmarkStart w:id="160" w:name="_Toc25878"/>
      <w:bookmarkStart w:id="161" w:name="_Toc531594754"/>
      <w:r>
        <w:rPr>
          <w:rFonts w:ascii="Times New Roman" w:hAnsi="Times New Roman" w:eastAsia="方正仿宋_GBK" w:cs="Times New Roman"/>
          <w:b/>
          <w:kern w:val="0"/>
          <w:sz w:val="21"/>
          <w:szCs w:val="21"/>
          <w:highlight w:val="none"/>
        </w:rPr>
        <w:t>3.3 投标有效期</w:t>
      </w:r>
      <w:bookmarkEnd w:id="155"/>
      <w:bookmarkEnd w:id="156"/>
      <w:bookmarkEnd w:id="157"/>
      <w:bookmarkEnd w:id="158"/>
      <w:bookmarkEnd w:id="159"/>
      <w:bookmarkEnd w:id="160"/>
      <w:bookmarkEnd w:id="161"/>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2" w:name="_Toc13393"/>
      <w:r>
        <w:rPr>
          <w:rFonts w:ascii="Times New Roman" w:hAnsi="Times New Roman" w:eastAsia="方正仿宋_GBK" w:cs="Times New Roman"/>
          <w:kern w:val="0"/>
          <w:sz w:val="21"/>
          <w:szCs w:val="21"/>
          <w:highlight w:val="none"/>
        </w:rPr>
        <w:t>3.3.1 在投标人须知前附表规定的投标有效期内，投标人不得要求撤销或修改其投标文件。</w:t>
      </w:r>
      <w:bookmarkEnd w:id="162"/>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63" w:name="_Toc13951"/>
      <w:r>
        <w:rPr>
          <w:rFonts w:ascii="Times New Roman" w:hAnsi="Times New Roman" w:eastAsia="方正仿宋_GBK" w:cs="Times New Roman"/>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163"/>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64" w:name="_Toc334774185"/>
      <w:bookmarkStart w:id="165" w:name="_Toc531594755"/>
      <w:bookmarkStart w:id="166" w:name="_Toc28560"/>
      <w:bookmarkStart w:id="167" w:name="_Toc317863444"/>
      <w:bookmarkStart w:id="168" w:name="_Toc200513148"/>
      <w:bookmarkStart w:id="169" w:name="_Toc325636602"/>
      <w:bookmarkStart w:id="170" w:name="_Toc19974"/>
      <w:r>
        <w:rPr>
          <w:rFonts w:ascii="Times New Roman" w:hAnsi="Times New Roman" w:eastAsia="方正仿宋_GBK" w:cs="Times New Roman"/>
          <w:b/>
          <w:kern w:val="0"/>
          <w:sz w:val="21"/>
          <w:szCs w:val="21"/>
          <w:highlight w:val="none"/>
        </w:rPr>
        <w:t>3.4 投标保证金</w:t>
      </w:r>
      <w:bookmarkEnd w:id="164"/>
      <w:bookmarkEnd w:id="165"/>
      <w:bookmarkEnd w:id="166"/>
      <w:bookmarkEnd w:id="167"/>
      <w:bookmarkEnd w:id="168"/>
      <w:bookmarkEnd w:id="169"/>
      <w:bookmarkEnd w:id="170"/>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1" w:name="_Toc9262"/>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bookmarkEnd w:id="171"/>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2" w:name="_Toc9903"/>
      <w:r>
        <w:rPr>
          <w:rFonts w:ascii="Times New Roman" w:hAnsi="Times New Roman" w:eastAsia="方正仿宋_GBK" w:cs="Times New Roman"/>
          <w:kern w:val="0"/>
          <w:sz w:val="21"/>
          <w:szCs w:val="21"/>
          <w:highlight w:val="none"/>
        </w:rPr>
        <w:t>3.4.2 投标人不按本章第 3.4.1 项要求提交投标保证金的，其投标文件作废标处理。</w:t>
      </w:r>
      <w:bookmarkEnd w:id="172"/>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3" w:name="_Toc16048"/>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bookmarkEnd w:id="173"/>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4" w:name="_Toc19661"/>
      <w:r>
        <w:rPr>
          <w:rFonts w:ascii="Times New Roman" w:hAnsi="Times New Roman" w:eastAsia="方正仿宋_GBK" w:cs="Times New Roman"/>
          <w:kern w:val="0"/>
          <w:sz w:val="21"/>
          <w:szCs w:val="21"/>
          <w:highlight w:val="none"/>
        </w:rPr>
        <w:t>3.4.4 有下列情形之一的，投标保证金将不予退还：</w:t>
      </w:r>
      <w:bookmarkEnd w:id="174"/>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5" w:name="_Toc16905"/>
      <w:r>
        <w:rPr>
          <w:rFonts w:ascii="Times New Roman" w:hAnsi="Times New Roman" w:eastAsia="方正仿宋_GBK" w:cs="Times New Roman"/>
          <w:kern w:val="0"/>
          <w:sz w:val="21"/>
          <w:szCs w:val="21"/>
          <w:highlight w:val="none"/>
        </w:rPr>
        <w:t>3.4.4.1 投标人在规定的投标有效期内撤销或修改其投标文件；</w:t>
      </w:r>
      <w:bookmarkEnd w:id="175"/>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6" w:name="_Toc24018"/>
      <w:r>
        <w:rPr>
          <w:rFonts w:ascii="Times New Roman" w:hAnsi="Times New Roman" w:eastAsia="方正仿宋_GBK" w:cs="Times New Roman"/>
          <w:kern w:val="0"/>
          <w:sz w:val="21"/>
          <w:szCs w:val="21"/>
          <w:highlight w:val="none"/>
        </w:rPr>
        <w:t>3.4.4.2 中标人在中标通知书发出3日之内拒绝签订合同，其保证金将不予退还。</w:t>
      </w:r>
      <w:bookmarkEnd w:id="176"/>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77" w:name="_Toc18798"/>
      <w:r>
        <w:rPr>
          <w:rFonts w:ascii="Times New Roman" w:hAnsi="Times New Roman" w:eastAsia="方正仿宋_GBK" w:cs="Times New Roman"/>
          <w:b/>
          <w:kern w:val="0"/>
          <w:sz w:val="21"/>
          <w:szCs w:val="21"/>
          <w:highlight w:val="none"/>
        </w:rPr>
        <w:t>3.5 资格审查资料</w:t>
      </w:r>
      <w:bookmarkEnd w:id="177"/>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78" w:name="_Toc30053"/>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bookmarkEnd w:id="178"/>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79" w:name="_Toc531594756"/>
      <w:bookmarkStart w:id="180" w:name="_Toc317863446"/>
      <w:bookmarkStart w:id="181" w:name="_Toc334774187"/>
      <w:bookmarkStart w:id="182" w:name="_Toc325636604"/>
      <w:bookmarkStart w:id="183" w:name="_Toc7983"/>
      <w:bookmarkStart w:id="184" w:name="_Toc200513151"/>
      <w:bookmarkStart w:id="185" w:name="_Toc25104"/>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179"/>
      <w:bookmarkEnd w:id="180"/>
      <w:bookmarkEnd w:id="181"/>
      <w:bookmarkEnd w:id="182"/>
      <w:bookmarkEnd w:id="183"/>
      <w:bookmarkEnd w:id="184"/>
      <w:bookmarkEnd w:id="185"/>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86" w:name="_Toc21388"/>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bookmarkEnd w:id="186"/>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87" w:name="_Toc200513152"/>
      <w:bookmarkStart w:id="188" w:name="_Toc21408"/>
      <w:bookmarkStart w:id="189" w:name="_Toc317863447"/>
      <w:bookmarkStart w:id="190" w:name="_Toc531594757"/>
      <w:bookmarkStart w:id="191" w:name="_Toc325636605"/>
      <w:bookmarkStart w:id="192" w:name="_Toc32015"/>
      <w:bookmarkStart w:id="193" w:name="_Toc334774188"/>
      <w:r>
        <w:rPr>
          <w:rFonts w:ascii="Times New Roman" w:hAnsi="Times New Roman" w:eastAsia="方正仿宋_GBK" w:cs="Times New Roman"/>
          <w:b/>
          <w:kern w:val="0"/>
          <w:sz w:val="21"/>
          <w:szCs w:val="21"/>
          <w:highlight w:val="none"/>
        </w:rPr>
        <w:t>3.7 投标文件的编制</w:t>
      </w:r>
      <w:bookmarkEnd w:id="187"/>
      <w:bookmarkEnd w:id="188"/>
      <w:bookmarkEnd w:id="189"/>
      <w:bookmarkEnd w:id="190"/>
      <w:bookmarkEnd w:id="191"/>
      <w:bookmarkEnd w:id="192"/>
      <w:bookmarkEnd w:id="193"/>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4" w:name="_Toc22870"/>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bookmarkEnd w:id="194"/>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5" w:name="_Toc508"/>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bookmarkEnd w:id="195"/>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6" w:name="_Toc14279"/>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bookmarkEnd w:id="196"/>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7" w:name="_Toc3747"/>
      <w:r>
        <w:rPr>
          <w:rFonts w:ascii="Times New Roman" w:hAnsi="Times New Roman" w:eastAsia="方正仿宋_GBK" w:cs="Times New Roman"/>
          <w:kern w:val="0"/>
          <w:sz w:val="21"/>
          <w:szCs w:val="21"/>
          <w:highlight w:val="none"/>
        </w:rPr>
        <w:t>3.7.4 投标文件份数见投标须知前附表。</w:t>
      </w:r>
      <w:bookmarkEnd w:id="197"/>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198" w:name="_Toc19205"/>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bookmarkEnd w:id="198"/>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99" w:name="_Toc334774189"/>
      <w:bookmarkStart w:id="200" w:name="_Toc531594758"/>
      <w:bookmarkStart w:id="201" w:name="_Toc317863448"/>
      <w:bookmarkStart w:id="202" w:name="_Toc200513153"/>
      <w:bookmarkStart w:id="203" w:name="_Toc13793"/>
      <w:bookmarkStart w:id="204" w:name="_Toc5619"/>
      <w:r>
        <w:rPr>
          <w:rFonts w:ascii="Times New Roman" w:hAnsi="Times New Roman" w:eastAsia="方正楷体_GBK" w:cs="Times New Roman"/>
          <w:b/>
          <w:w w:val="99"/>
          <w:kern w:val="0"/>
          <w:sz w:val="21"/>
          <w:szCs w:val="21"/>
          <w:highlight w:val="none"/>
          <w:lang w:val="zh-CN"/>
        </w:rPr>
        <w:t>4.投标</w:t>
      </w:r>
      <w:bookmarkEnd w:id="199"/>
      <w:bookmarkEnd w:id="200"/>
      <w:bookmarkEnd w:id="201"/>
      <w:bookmarkEnd w:id="202"/>
      <w:bookmarkEnd w:id="203"/>
      <w:bookmarkEnd w:id="204"/>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5" w:name="_Toc317863449"/>
      <w:bookmarkStart w:id="206" w:name="_Toc26003"/>
      <w:bookmarkStart w:id="207" w:name="_Toc11292"/>
      <w:bookmarkStart w:id="208" w:name="_Toc531594759"/>
      <w:bookmarkStart w:id="209" w:name="_Toc325636607"/>
      <w:bookmarkStart w:id="210" w:name="_Toc200513154"/>
      <w:bookmarkStart w:id="211" w:name="_Toc334774190"/>
      <w:r>
        <w:rPr>
          <w:rFonts w:ascii="Times New Roman" w:hAnsi="Times New Roman" w:eastAsia="方正仿宋_GBK" w:cs="Times New Roman"/>
          <w:b/>
          <w:kern w:val="0"/>
          <w:sz w:val="21"/>
          <w:szCs w:val="21"/>
          <w:highlight w:val="none"/>
        </w:rPr>
        <w:t>4.1 投标文件的密封和标记</w:t>
      </w:r>
      <w:bookmarkEnd w:id="205"/>
      <w:bookmarkEnd w:id="206"/>
      <w:bookmarkEnd w:id="207"/>
      <w:bookmarkEnd w:id="208"/>
      <w:bookmarkEnd w:id="209"/>
      <w:bookmarkEnd w:id="210"/>
      <w:bookmarkEnd w:id="211"/>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2" w:name="_Toc24372"/>
      <w:r>
        <w:rPr>
          <w:rFonts w:ascii="Times New Roman" w:hAnsi="Times New Roman" w:eastAsia="方正仿宋_GBK" w:cs="Times New Roman"/>
          <w:kern w:val="0"/>
          <w:sz w:val="21"/>
          <w:szCs w:val="21"/>
          <w:highlight w:val="none"/>
        </w:rPr>
        <w:t>4.1.1 投标文件的密封见投标人须知前附表。</w:t>
      </w:r>
      <w:bookmarkEnd w:id="212"/>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3" w:name="_Toc5600"/>
      <w:r>
        <w:rPr>
          <w:rFonts w:ascii="Times New Roman" w:hAnsi="Times New Roman" w:eastAsia="方正仿宋_GBK" w:cs="Times New Roman"/>
          <w:kern w:val="0"/>
          <w:sz w:val="21"/>
          <w:szCs w:val="21"/>
          <w:highlight w:val="none"/>
        </w:rPr>
        <w:t>4.1.2 投标文件的封套上应写明的内容见投标人须知前附表。</w:t>
      </w:r>
      <w:bookmarkEnd w:id="213"/>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14" w:name="_Toc12275"/>
      <w:r>
        <w:rPr>
          <w:rFonts w:ascii="Times New Roman" w:hAnsi="Times New Roman" w:eastAsia="方正仿宋_GBK" w:cs="Times New Roman"/>
          <w:kern w:val="0"/>
          <w:sz w:val="21"/>
          <w:szCs w:val="21"/>
          <w:highlight w:val="none"/>
        </w:rPr>
        <w:t>4.1.3 未按要求密封和写标记的投标文件，将被拒绝受理。</w:t>
      </w:r>
      <w:bookmarkEnd w:id="214"/>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15" w:name="_Toc317863450"/>
      <w:bookmarkStart w:id="216" w:name="_Toc23970"/>
      <w:bookmarkStart w:id="217" w:name="_Toc5004"/>
      <w:bookmarkStart w:id="218" w:name="_Toc325636608"/>
      <w:bookmarkStart w:id="219" w:name="_Toc531594760"/>
      <w:bookmarkStart w:id="220" w:name="_Toc334774191"/>
      <w:r>
        <w:rPr>
          <w:rFonts w:ascii="Times New Roman" w:hAnsi="Times New Roman" w:eastAsia="方正仿宋_GBK" w:cs="Times New Roman"/>
          <w:b/>
          <w:kern w:val="0"/>
          <w:sz w:val="21"/>
          <w:szCs w:val="21"/>
          <w:highlight w:val="none"/>
        </w:rPr>
        <w:t>4.2 投标文件的递交</w:t>
      </w:r>
      <w:bookmarkEnd w:id="215"/>
      <w:bookmarkEnd w:id="216"/>
      <w:bookmarkEnd w:id="217"/>
      <w:bookmarkEnd w:id="218"/>
      <w:bookmarkEnd w:id="219"/>
      <w:bookmarkEnd w:id="220"/>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1" w:name="_Toc32332"/>
      <w:r>
        <w:rPr>
          <w:rFonts w:ascii="Times New Roman" w:hAnsi="Times New Roman" w:eastAsia="方正仿宋_GBK" w:cs="Times New Roman"/>
          <w:kern w:val="0"/>
          <w:sz w:val="21"/>
          <w:szCs w:val="21"/>
          <w:highlight w:val="none"/>
        </w:rPr>
        <w:t>4.2.1 投标人应在本章前附表规定的投标截止时间前递交投标文件。</w:t>
      </w:r>
      <w:bookmarkEnd w:id="221"/>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2" w:name="_Toc1756"/>
      <w:r>
        <w:rPr>
          <w:rFonts w:ascii="Times New Roman" w:hAnsi="Times New Roman" w:eastAsia="方正仿宋_GBK" w:cs="Times New Roman"/>
          <w:kern w:val="0"/>
          <w:sz w:val="21"/>
          <w:szCs w:val="21"/>
          <w:highlight w:val="none"/>
        </w:rPr>
        <w:t>4.2.2 投标人递交投标文件的地点：见投标人须知前附表。</w:t>
      </w:r>
      <w:bookmarkEnd w:id="222"/>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3" w:name="_Toc13940"/>
      <w:r>
        <w:rPr>
          <w:rFonts w:ascii="Times New Roman" w:hAnsi="Times New Roman" w:eastAsia="方正仿宋_GBK" w:cs="Times New Roman"/>
          <w:kern w:val="0"/>
          <w:sz w:val="21"/>
          <w:szCs w:val="21"/>
          <w:highlight w:val="none"/>
        </w:rPr>
        <w:t>4.2.3 除投标人须知前附表另有规定外，投标人所递交的投标文件不予退还。</w:t>
      </w:r>
      <w:bookmarkEnd w:id="223"/>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4" w:name="_Toc28932"/>
      <w:r>
        <w:rPr>
          <w:rFonts w:ascii="Times New Roman" w:hAnsi="Times New Roman" w:eastAsia="方正仿宋_GBK" w:cs="Times New Roman"/>
          <w:kern w:val="0"/>
          <w:sz w:val="21"/>
          <w:szCs w:val="21"/>
          <w:highlight w:val="none"/>
        </w:rPr>
        <w:t>4.2.4 招标人收到投标文件后，向投标人出具签收凭证。</w:t>
      </w:r>
      <w:bookmarkEnd w:id="224"/>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25" w:name="_Toc13752"/>
      <w:r>
        <w:rPr>
          <w:rFonts w:ascii="Times New Roman" w:hAnsi="Times New Roman" w:eastAsia="方正仿宋_GBK" w:cs="Times New Roman"/>
          <w:kern w:val="0"/>
          <w:sz w:val="21"/>
          <w:szCs w:val="21"/>
          <w:highlight w:val="none"/>
        </w:rPr>
        <w:t>4.2.5 逾期送达的或者未送达指定地点的投标文件，招标人不予受理。</w:t>
      </w:r>
      <w:bookmarkEnd w:id="225"/>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26" w:name="_Toc531594761"/>
      <w:bookmarkStart w:id="227" w:name="_Toc20769"/>
      <w:bookmarkStart w:id="228" w:name="_Toc317863451"/>
      <w:bookmarkStart w:id="229" w:name="_Toc200513156"/>
      <w:bookmarkStart w:id="230" w:name="_Toc334774192"/>
      <w:bookmarkStart w:id="231" w:name="_Toc325636609"/>
      <w:bookmarkStart w:id="232" w:name="_Toc22817"/>
      <w:r>
        <w:rPr>
          <w:rFonts w:ascii="Times New Roman" w:hAnsi="Times New Roman" w:eastAsia="方正仿宋_GBK" w:cs="Times New Roman"/>
          <w:b/>
          <w:kern w:val="0"/>
          <w:sz w:val="21"/>
          <w:szCs w:val="21"/>
          <w:highlight w:val="none"/>
        </w:rPr>
        <w:t>4.3 投标文件的修改与撤回</w:t>
      </w:r>
      <w:bookmarkEnd w:id="226"/>
      <w:bookmarkEnd w:id="227"/>
      <w:bookmarkEnd w:id="228"/>
      <w:bookmarkEnd w:id="229"/>
      <w:bookmarkEnd w:id="230"/>
      <w:bookmarkEnd w:id="231"/>
      <w:bookmarkEnd w:id="232"/>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3" w:name="_Toc28233"/>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bookmarkEnd w:id="233"/>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4" w:name="_Toc29911"/>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bookmarkEnd w:id="234"/>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35" w:name="_Toc652"/>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bookmarkEnd w:id="235"/>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36" w:name="_Toc1489"/>
      <w:bookmarkStart w:id="237" w:name="_Toc200513157"/>
      <w:bookmarkStart w:id="238" w:name="_Toc334774193"/>
      <w:bookmarkStart w:id="239" w:name="_Toc317863452"/>
      <w:bookmarkStart w:id="240" w:name="_Toc531594762"/>
      <w:bookmarkStart w:id="241" w:name="_Toc23299"/>
      <w:r>
        <w:rPr>
          <w:rFonts w:ascii="Times New Roman" w:hAnsi="Times New Roman" w:eastAsia="方正楷体_GBK" w:cs="Times New Roman"/>
          <w:b/>
          <w:w w:val="99"/>
          <w:kern w:val="0"/>
          <w:sz w:val="21"/>
          <w:szCs w:val="21"/>
          <w:highlight w:val="none"/>
          <w:lang w:val="zh-CN"/>
        </w:rPr>
        <w:t>5.开标</w:t>
      </w:r>
      <w:bookmarkEnd w:id="236"/>
      <w:bookmarkEnd w:id="237"/>
      <w:bookmarkEnd w:id="238"/>
      <w:bookmarkEnd w:id="239"/>
      <w:r>
        <w:rPr>
          <w:rFonts w:ascii="Times New Roman" w:hAnsi="Times New Roman" w:eastAsia="方正楷体_GBK" w:cs="Times New Roman"/>
          <w:b/>
          <w:w w:val="99"/>
          <w:kern w:val="0"/>
          <w:sz w:val="21"/>
          <w:szCs w:val="21"/>
          <w:highlight w:val="none"/>
          <w:lang w:val="zh-CN"/>
        </w:rPr>
        <w:t>时间及地点</w:t>
      </w:r>
      <w:bookmarkEnd w:id="240"/>
      <w:bookmarkEnd w:id="241"/>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42" w:name="_Toc23496"/>
      <w:bookmarkStart w:id="243" w:name="_Toc531594763"/>
      <w:r>
        <w:rPr>
          <w:rFonts w:ascii="Times New Roman" w:hAnsi="Times New Roman" w:eastAsia="方正仿宋_GBK" w:cs="Times New Roman"/>
          <w:kern w:val="0"/>
          <w:sz w:val="21"/>
          <w:szCs w:val="21"/>
          <w:highlight w:val="none"/>
        </w:rPr>
        <w:t>开标时间及地点见投</w:t>
      </w:r>
      <w:r>
        <w:rPr>
          <w:rFonts w:ascii="Times New Roman" w:hAnsi="Times New Roman" w:eastAsia="方正仿宋_GBK" w:cs="Times New Roman"/>
          <w:color w:val="auto"/>
          <w:kern w:val="0"/>
          <w:sz w:val="21"/>
          <w:szCs w:val="21"/>
          <w:highlight w:val="none"/>
        </w:rPr>
        <w:t>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w:t>
      </w:r>
      <w:bookmarkEnd w:id="242"/>
      <w:bookmarkEnd w:id="243"/>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44" w:name="_Toc20010"/>
      <w:bookmarkStart w:id="245" w:name="_Toc531594764"/>
      <w:r>
        <w:rPr>
          <w:rFonts w:ascii="Times New Roman" w:hAnsi="Times New Roman" w:eastAsia="方正楷体_GBK" w:cs="Times New Roman"/>
          <w:b/>
          <w:color w:val="auto"/>
          <w:w w:val="99"/>
          <w:kern w:val="0"/>
          <w:sz w:val="21"/>
          <w:szCs w:val="21"/>
          <w:highlight w:val="none"/>
          <w:lang w:val="zh-CN"/>
        </w:rPr>
        <w:t>6.评标</w:t>
      </w:r>
      <w:bookmarkEnd w:id="244"/>
      <w:bookmarkEnd w:id="245"/>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46" w:name="_Toc334774197"/>
      <w:bookmarkStart w:id="247" w:name="_Toc317863456"/>
      <w:bookmarkStart w:id="248" w:name="_Toc8039"/>
      <w:bookmarkStart w:id="249" w:name="_Toc531594765"/>
      <w:bookmarkStart w:id="250" w:name="_Toc200513161"/>
      <w:bookmarkStart w:id="251" w:name="_Toc16186"/>
      <w:bookmarkStart w:id="252" w:name="_Toc325636614"/>
      <w:r>
        <w:rPr>
          <w:rFonts w:ascii="Times New Roman" w:hAnsi="Times New Roman" w:eastAsia="方正仿宋_GBK" w:cs="Times New Roman"/>
          <w:b/>
          <w:color w:val="auto"/>
          <w:kern w:val="0"/>
          <w:sz w:val="21"/>
          <w:szCs w:val="21"/>
          <w:highlight w:val="none"/>
        </w:rPr>
        <w:t>6.1 评标委员会</w:t>
      </w:r>
      <w:bookmarkEnd w:id="246"/>
      <w:bookmarkEnd w:id="247"/>
      <w:bookmarkEnd w:id="248"/>
      <w:bookmarkEnd w:id="249"/>
      <w:bookmarkEnd w:id="250"/>
      <w:bookmarkEnd w:id="251"/>
      <w:bookmarkEnd w:id="252"/>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3" w:name="_Toc24373"/>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bookmarkEnd w:id="253"/>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4" w:name="_Toc16170"/>
      <w:r>
        <w:rPr>
          <w:rFonts w:ascii="Times New Roman" w:hAnsi="Times New Roman" w:eastAsia="方正仿宋_GBK" w:cs="Times New Roman"/>
          <w:color w:val="auto"/>
          <w:kern w:val="0"/>
          <w:sz w:val="21"/>
          <w:szCs w:val="21"/>
          <w:highlight w:val="none"/>
        </w:rPr>
        <w:t>6.1.2 评标委员会成员有下列情形之一的，应当回避：</w:t>
      </w:r>
      <w:bookmarkEnd w:id="254"/>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5" w:name="_Toc21342"/>
      <w:r>
        <w:rPr>
          <w:rFonts w:ascii="Times New Roman" w:hAnsi="Times New Roman" w:eastAsia="方正仿宋_GBK" w:cs="Times New Roman"/>
          <w:color w:val="auto"/>
          <w:kern w:val="0"/>
          <w:sz w:val="21"/>
          <w:szCs w:val="21"/>
          <w:highlight w:val="none"/>
        </w:rPr>
        <w:t>6.1.2.1 招标人或投标人的主要负责人的近亲属；</w:t>
      </w:r>
      <w:bookmarkEnd w:id="255"/>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6" w:name="_Toc1016"/>
      <w:r>
        <w:rPr>
          <w:rFonts w:ascii="Times New Roman" w:hAnsi="Times New Roman" w:eastAsia="方正仿宋_GBK" w:cs="Times New Roman"/>
          <w:color w:val="auto"/>
          <w:kern w:val="0"/>
          <w:sz w:val="21"/>
          <w:szCs w:val="21"/>
          <w:highlight w:val="none"/>
        </w:rPr>
        <w:t>6.1.2.2 项目主管部门或者行政监督部门的人员；</w:t>
      </w:r>
      <w:bookmarkEnd w:id="256"/>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7" w:name="_Toc20025"/>
      <w:r>
        <w:rPr>
          <w:rFonts w:ascii="Times New Roman" w:hAnsi="Times New Roman" w:eastAsia="方正仿宋_GBK" w:cs="Times New Roman"/>
          <w:color w:val="auto"/>
          <w:kern w:val="0"/>
          <w:sz w:val="21"/>
          <w:szCs w:val="21"/>
          <w:highlight w:val="none"/>
        </w:rPr>
        <w:t>6.1.2.3 与投标人有经济利益关系，可能影响对投标公正评审的；</w:t>
      </w:r>
      <w:bookmarkEnd w:id="257"/>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58" w:name="_Toc12341"/>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bookmarkEnd w:id="258"/>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9" w:name="_Toc18631"/>
      <w:bookmarkStart w:id="260" w:name="_Toc334774198"/>
      <w:bookmarkStart w:id="261" w:name="_Toc317863457"/>
      <w:bookmarkStart w:id="262" w:name="_Toc2360"/>
      <w:bookmarkStart w:id="263" w:name="_Toc531594766"/>
      <w:bookmarkStart w:id="264" w:name="_Toc325636615"/>
      <w:bookmarkStart w:id="265" w:name="_Toc200513162"/>
      <w:r>
        <w:rPr>
          <w:rFonts w:ascii="Times New Roman" w:hAnsi="Times New Roman" w:eastAsia="方正仿宋_GBK" w:cs="Times New Roman"/>
          <w:b/>
          <w:color w:val="auto"/>
          <w:kern w:val="0"/>
          <w:sz w:val="21"/>
          <w:szCs w:val="21"/>
          <w:highlight w:val="none"/>
        </w:rPr>
        <w:t>6.2 评标原则</w:t>
      </w:r>
      <w:bookmarkEnd w:id="259"/>
      <w:bookmarkEnd w:id="260"/>
      <w:bookmarkEnd w:id="261"/>
      <w:bookmarkEnd w:id="262"/>
      <w:bookmarkEnd w:id="263"/>
      <w:bookmarkEnd w:id="264"/>
      <w:bookmarkEnd w:id="265"/>
    </w:p>
    <w:p w14:paraId="4F4581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bookmarkStart w:id="266" w:name="_Toc32193"/>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bookmarkEnd w:id="266"/>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67" w:name="_Toc27675"/>
      <w:r>
        <w:rPr>
          <w:rFonts w:ascii="Times New Roman" w:hAnsi="Times New Roman" w:eastAsia="方正仿宋_GBK" w:cs="Times New Roman"/>
          <w:b/>
          <w:color w:val="auto"/>
          <w:kern w:val="0"/>
          <w:sz w:val="21"/>
          <w:szCs w:val="21"/>
          <w:highlight w:val="none"/>
        </w:rPr>
        <w:t>6.3 评标</w:t>
      </w:r>
      <w:bookmarkEnd w:id="267"/>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68" w:name="_Toc7448"/>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bookmarkEnd w:id="268"/>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69" w:name="_Toc334774200"/>
      <w:bookmarkStart w:id="270" w:name="_Toc317863459"/>
      <w:bookmarkStart w:id="271" w:name="_Toc13876"/>
      <w:bookmarkStart w:id="272" w:name="_Toc531594767"/>
      <w:bookmarkStart w:id="273" w:name="_Toc5106"/>
      <w:r>
        <w:rPr>
          <w:rFonts w:ascii="Times New Roman" w:hAnsi="Times New Roman" w:eastAsia="方正楷体_GBK" w:cs="Times New Roman"/>
          <w:b/>
          <w:color w:val="auto"/>
          <w:w w:val="99"/>
          <w:kern w:val="0"/>
          <w:sz w:val="21"/>
          <w:szCs w:val="21"/>
          <w:highlight w:val="none"/>
          <w:lang w:val="zh-CN"/>
        </w:rPr>
        <w:t>7.合同授予</w:t>
      </w:r>
      <w:bookmarkEnd w:id="269"/>
      <w:bookmarkEnd w:id="270"/>
      <w:bookmarkEnd w:id="271"/>
      <w:bookmarkEnd w:id="272"/>
      <w:bookmarkEnd w:id="273"/>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74" w:name="_Toc325636618"/>
      <w:bookmarkStart w:id="275" w:name="_Toc17947"/>
      <w:bookmarkStart w:id="276" w:name="_Toc200513165"/>
      <w:bookmarkStart w:id="277" w:name="_Toc22299"/>
      <w:bookmarkStart w:id="278" w:name="_Toc317863460"/>
      <w:bookmarkStart w:id="279" w:name="_Toc334774201"/>
      <w:bookmarkStart w:id="280" w:name="_Toc531594768"/>
      <w:r>
        <w:rPr>
          <w:rFonts w:ascii="Times New Roman" w:hAnsi="Times New Roman" w:eastAsia="方正仿宋_GBK" w:cs="Times New Roman"/>
          <w:b/>
          <w:kern w:val="0"/>
          <w:sz w:val="21"/>
          <w:szCs w:val="21"/>
          <w:highlight w:val="none"/>
        </w:rPr>
        <w:t>7.1 定标方式</w:t>
      </w:r>
      <w:bookmarkEnd w:id="274"/>
      <w:bookmarkEnd w:id="275"/>
      <w:bookmarkEnd w:id="276"/>
      <w:bookmarkEnd w:id="277"/>
      <w:bookmarkEnd w:id="278"/>
      <w:bookmarkEnd w:id="279"/>
      <w:bookmarkEnd w:id="280"/>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81" w:name="_Toc9823"/>
      <w:r>
        <w:rPr>
          <w:rFonts w:ascii="Times New Roman" w:hAnsi="Times New Roman" w:eastAsia="方正仿宋_GBK" w:cs="Times New Roman"/>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bookmarkEnd w:id="281"/>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82" w:name="_Toc531594769"/>
      <w:bookmarkStart w:id="283" w:name="_Toc317863461"/>
      <w:bookmarkStart w:id="284" w:name="_Toc19729"/>
      <w:bookmarkStart w:id="285" w:name="_Toc325636619"/>
      <w:bookmarkStart w:id="286" w:name="_Toc200513166"/>
      <w:bookmarkStart w:id="287" w:name="_Toc12438"/>
      <w:bookmarkStart w:id="288" w:name="_Toc334774202"/>
      <w:r>
        <w:rPr>
          <w:rFonts w:ascii="Times New Roman" w:hAnsi="Times New Roman" w:eastAsia="方正仿宋_GBK" w:cs="Times New Roman"/>
          <w:b/>
          <w:kern w:val="0"/>
          <w:sz w:val="21"/>
          <w:szCs w:val="21"/>
          <w:highlight w:val="none"/>
        </w:rPr>
        <w:t>7.2 中标通知</w:t>
      </w:r>
      <w:bookmarkEnd w:id="282"/>
      <w:bookmarkEnd w:id="283"/>
      <w:bookmarkEnd w:id="284"/>
      <w:bookmarkEnd w:id="285"/>
      <w:bookmarkEnd w:id="286"/>
      <w:bookmarkEnd w:id="287"/>
      <w:bookmarkEnd w:id="288"/>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FF0000"/>
          <w:kern w:val="0"/>
          <w:sz w:val="21"/>
          <w:szCs w:val="21"/>
          <w:highlight w:val="none"/>
        </w:rPr>
      </w:pPr>
      <w:bookmarkStart w:id="289" w:name="_Toc16412"/>
      <w:r>
        <w:rPr>
          <w:rFonts w:ascii="Times New Roman" w:hAnsi="Times New Roman" w:eastAsia="方正仿宋_GBK" w:cs="Times New Roman"/>
          <w:kern w:val="0"/>
          <w:sz w:val="21"/>
          <w:szCs w:val="21"/>
          <w:highlight w:val="none"/>
        </w:rPr>
        <w:t>在</w:t>
      </w:r>
      <w:r>
        <w:rPr>
          <w:rFonts w:ascii="Times New Roman" w:hAnsi="Times New Roman" w:eastAsia="方正仿宋_GBK" w:cs="Times New Roman"/>
          <w:color w:val="auto"/>
          <w:kern w:val="0"/>
          <w:sz w:val="21"/>
          <w:szCs w:val="21"/>
          <w:highlight w:val="none"/>
        </w:rPr>
        <w:t>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bookmarkEnd w:id="289"/>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90" w:name="_Toc325636621"/>
      <w:bookmarkStart w:id="291" w:name="_Toc334774203"/>
      <w:bookmarkStart w:id="292" w:name="_Toc531594770"/>
      <w:bookmarkStart w:id="293" w:name="_Toc14715"/>
      <w:bookmarkStart w:id="294" w:name="_Toc317863463"/>
      <w:bookmarkStart w:id="295" w:name="_Toc9808"/>
      <w:r>
        <w:rPr>
          <w:rFonts w:ascii="Times New Roman" w:hAnsi="Times New Roman" w:eastAsia="方正仿宋_GBK" w:cs="Times New Roman"/>
          <w:b/>
          <w:kern w:val="0"/>
          <w:sz w:val="21"/>
          <w:szCs w:val="21"/>
          <w:highlight w:val="none"/>
        </w:rPr>
        <w:t>7.3 签订合同</w:t>
      </w:r>
      <w:bookmarkEnd w:id="290"/>
      <w:bookmarkEnd w:id="291"/>
      <w:bookmarkEnd w:id="292"/>
      <w:bookmarkEnd w:id="293"/>
      <w:bookmarkEnd w:id="294"/>
      <w:bookmarkEnd w:id="295"/>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96" w:name="_Toc32312"/>
      <w:r>
        <w:rPr>
          <w:rFonts w:ascii="Times New Roman" w:hAnsi="Times New Roman" w:eastAsia="方正仿宋_GBK" w:cs="Times New Roman"/>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bookmarkEnd w:id="296"/>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297" w:name="_Toc25446"/>
      <w:r>
        <w:rPr>
          <w:rFonts w:ascii="Times New Roman" w:hAnsi="Times New Roman" w:eastAsia="方正仿宋_GBK" w:cs="Times New Roman"/>
          <w:kern w:val="0"/>
          <w:sz w:val="21"/>
          <w:szCs w:val="21"/>
          <w:highlight w:val="none"/>
        </w:rPr>
        <w:t>7.3.2 发出中标通知书后，招标人无正当理由拒签合同的，招标人向中标人退还投标保证金；给中标人造成损失的，还应当赔偿损失。</w:t>
      </w:r>
      <w:bookmarkEnd w:id="297"/>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8" w:name="_Toc2010"/>
      <w:r>
        <w:rPr>
          <w:rFonts w:ascii="Times New Roman" w:hAnsi="Times New Roman" w:eastAsia="方正仿宋_GBK" w:cs="Times New Roman"/>
          <w:kern w:val="0"/>
          <w:sz w:val="21"/>
          <w:szCs w:val="21"/>
          <w:highlight w:val="none"/>
        </w:rPr>
        <w:t>7.3.3 投标人中标后又提出对招标文件中各项条款的不实质性响应，经双方协商，在7.3.1条规定的时间内不能达</w:t>
      </w:r>
      <w:r>
        <w:rPr>
          <w:rFonts w:ascii="Times New Roman" w:hAnsi="Times New Roman" w:eastAsia="方正仿宋_GBK" w:cs="Times New Roman"/>
          <w:color w:val="auto"/>
          <w:kern w:val="0"/>
          <w:sz w:val="21"/>
          <w:szCs w:val="21"/>
          <w:highlight w:val="none"/>
        </w:rPr>
        <w:t>成一致意见的，招标人有权取消其中标资格，并没收其投标保证金。</w:t>
      </w:r>
      <w:bookmarkEnd w:id="298"/>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299" w:name="_Toc5107"/>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bookmarkEnd w:id="299"/>
    </w:p>
    <w:p w14:paraId="0A81940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300" w:name="_Toc317863464"/>
      <w:bookmarkStart w:id="301" w:name="_Toc25339"/>
      <w:bookmarkStart w:id="302" w:name="_Toc531594771"/>
      <w:bookmarkStart w:id="303" w:name="_Toc15584"/>
      <w:bookmarkStart w:id="304" w:name="_Toc334774204"/>
      <w:bookmarkStart w:id="305" w:name="_Toc334774207"/>
      <w:bookmarkStart w:id="306" w:name="_Toc200513172"/>
      <w:bookmarkStart w:id="307" w:name="_Toc531594773"/>
      <w:bookmarkStart w:id="308" w:name="_Toc317863467"/>
      <w:bookmarkStart w:id="309" w:name="_Toc11895"/>
      <w:r>
        <w:rPr>
          <w:rFonts w:ascii="Times New Roman" w:hAnsi="Times New Roman" w:eastAsia="方正楷体_GBK" w:cs="Times New Roman"/>
          <w:b/>
          <w:color w:val="auto"/>
          <w:w w:val="99"/>
          <w:kern w:val="0"/>
          <w:sz w:val="21"/>
          <w:szCs w:val="21"/>
          <w:highlight w:val="none"/>
          <w:lang w:val="zh-CN"/>
        </w:rPr>
        <w:t>8.重新招标和不再招标</w:t>
      </w:r>
      <w:bookmarkEnd w:id="300"/>
      <w:bookmarkEnd w:id="301"/>
      <w:bookmarkEnd w:id="302"/>
      <w:bookmarkEnd w:id="303"/>
      <w:bookmarkEnd w:id="304"/>
    </w:p>
    <w:p w14:paraId="628D085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bookmarkStart w:id="310" w:name="_Toc15578"/>
      <w:r>
        <w:rPr>
          <w:rFonts w:hint="eastAsia" w:ascii="Times New Roman" w:hAnsi="Times New Roman" w:eastAsia="方正仿宋_GBK" w:cs="Times New Roman"/>
          <w:b/>
          <w:color w:val="auto"/>
          <w:kern w:val="0"/>
          <w:sz w:val="21"/>
          <w:szCs w:val="21"/>
          <w:highlight w:val="none"/>
        </w:rPr>
        <w:t>8.1 重新招标</w:t>
      </w:r>
      <w:bookmarkEnd w:id="310"/>
    </w:p>
    <w:p w14:paraId="2EB034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1" w:name="_Toc14219"/>
      <w:r>
        <w:rPr>
          <w:rFonts w:hint="eastAsia" w:ascii="Times New Roman" w:hAnsi="Times New Roman" w:eastAsia="方正仿宋_GBK" w:cs="Times New Roman"/>
          <w:b w:val="0"/>
          <w:bCs/>
          <w:color w:val="auto"/>
          <w:kern w:val="0"/>
          <w:sz w:val="21"/>
          <w:szCs w:val="21"/>
          <w:highlight w:val="none"/>
        </w:rPr>
        <w:t>有下列情形之一的，招标人将重新招标</w:t>
      </w:r>
      <w:bookmarkEnd w:id="311"/>
    </w:p>
    <w:p w14:paraId="03C723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2" w:name="_Toc22268"/>
      <w:r>
        <w:rPr>
          <w:rFonts w:hint="eastAsia" w:ascii="Times New Roman" w:hAnsi="Times New Roman" w:eastAsia="方正仿宋_GBK" w:cs="Times New Roman"/>
          <w:b w:val="0"/>
          <w:bCs/>
          <w:color w:val="auto"/>
          <w:kern w:val="0"/>
          <w:sz w:val="21"/>
          <w:szCs w:val="21"/>
          <w:highlight w:val="none"/>
        </w:rPr>
        <w:t>（1）投标截止时间止，投标人少于三个的；</w:t>
      </w:r>
      <w:bookmarkEnd w:id="312"/>
    </w:p>
    <w:p w14:paraId="38383F9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3" w:name="_Toc4306"/>
      <w:r>
        <w:rPr>
          <w:rFonts w:hint="eastAsia" w:ascii="Times New Roman" w:hAnsi="Times New Roman" w:eastAsia="方正仿宋_GBK" w:cs="Times New Roman"/>
          <w:b w:val="0"/>
          <w:bCs/>
          <w:color w:val="auto"/>
          <w:kern w:val="0"/>
          <w:sz w:val="21"/>
          <w:szCs w:val="21"/>
          <w:highlight w:val="none"/>
        </w:rPr>
        <w:t>（2）评标后合格的投标人少于三个的。</w:t>
      </w:r>
      <w:bookmarkEnd w:id="313"/>
    </w:p>
    <w:p w14:paraId="61D0E3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bookmarkStart w:id="314" w:name="_Toc1728"/>
      <w:r>
        <w:rPr>
          <w:rFonts w:hint="eastAsia" w:ascii="Times New Roman" w:hAnsi="Times New Roman" w:eastAsia="方正仿宋_GBK" w:cs="Times New Roman"/>
          <w:b/>
          <w:color w:val="auto"/>
          <w:kern w:val="0"/>
          <w:sz w:val="21"/>
          <w:szCs w:val="21"/>
          <w:highlight w:val="none"/>
        </w:rPr>
        <w:t>8.2 不再招标</w:t>
      </w:r>
      <w:bookmarkEnd w:id="314"/>
    </w:p>
    <w:p w14:paraId="0C0D94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bookmarkStart w:id="315" w:name="_Toc14036"/>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bookmarkEnd w:id="315"/>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316" w:name="_Toc15474"/>
      <w:r>
        <w:rPr>
          <w:rFonts w:ascii="Times New Roman" w:hAnsi="Times New Roman" w:eastAsia="方正楷体_GBK" w:cs="Times New Roman"/>
          <w:b/>
          <w:color w:val="auto"/>
          <w:w w:val="99"/>
          <w:kern w:val="0"/>
          <w:sz w:val="21"/>
          <w:szCs w:val="21"/>
          <w:highlight w:val="none"/>
          <w:lang w:val="zh-CN"/>
        </w:rPr>
        <w:t>9.纪律和监督</w:t>
      </w:r>
      <w:bookmarkEnd w:id="305"/>
      <w:bookmarkEnd w:id="306"/>
      <w:bookmarkEnd w:id="307"/>
      <w:bookmarkEnd w:id="308"/>
      <w:bookmarkEnd w:id="309"/>
      <w:bookmarkEnd w:id="316"/>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317" w:name="_Toc18357"/>
      <w:bookmarkStart w:id="318" w:name="_Toc531594774"/>
      <w:bookmarkStart w:id="319" w:name="_Toc334774208"/>
      <w:bookmarkStart w:id="320" w:name="_Toc325636626"/>
      <w:bookmarkStart w:id="321" w:name="_Toc1463"/>
      <w:bookmarkStart w:id="322" w:name="_Toc200513173"/>
      <w:bookmarkStart w:id="323" w:name="_Toc317863468"/>
      <w:r>
        <w:rPr>
          <w:rFonts w:ascii="Times New Roman" w:hAnsi="Times New Roman" w:eastAsia="方正仿宋_GBK" w:cs="Times New Roman"/>
          <w:b/>
          <w:color w:val="auto"/>
          <w:kern w:val="0"/>
          <w:sz w:val="21"/>
          <w:szCs w:val="21"/>
          <w:highlight w:val="none"/>
        </w:rPr>
        <w:t>9.1 对招标人的纪律要求</w:t>
      </w:r>
      <w:bookmarkEnd w:id="317"/>
      <w:bookmarkEnd w:id="318"/>
      <w:bookmarkEnd w:id="319"/>
      <w:bookmarkEnd w:id="320"/>
      <w:bookmarkEnd w:id="321"/>
      <w:bookmarkEnd w:id="322"/>
      <w:bookmarkEnd w:id="323"/>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24" w:name="_Toc30854"/>
      <w:r>
        <w:rPr>
          <w:rFonts w:ascii="Times New Roman" w:hAnsi="Times New Roman" w:eastAsia="方正仿宋_GBK" w:cs="Times New Roman"/>
          <w:color w:val="auto"/>
          <w:kern w:val="0"/>
          <w:sz w:val="21"/>
          <w:szCs w:val="21"/>
          <w:highlight w:val="none"/>
        </w:rPr>
        <w:t>招标人不得泄漏招标投标活动中应当保密的情况和</w:t>
      </w:r>
      <w:r>
        <w:rPr>
          <w:rFonts w:ascii="Times New Roman" w:hAnsi="Times New Roman" w:eastAsia="方正仿宋_GBK" w:cs="Times New Roman"/>
          <w:kern w:val="0"/>
          <w:sz w:val="21"/>
          <w:szCs w:val="21"/>
          <w:highlight w:val="none"/>
        </w:rPr>
        <w:t>资料，不得与投标人串通损害国家利益、社会公共利益或者他人合法权益。</w:t>
      </w:r>
      <w:bookmarkEnd w:id="324"/>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25" w:name="_Toc334774209"/>
      <w:bookmarkStart w:id="326" w:name="_Toc531594775"/>
      <w:bookmarkStart w:id="327" w:name="_Toc14713"/>
      <w:bookmarkStart w:id="328" w:name="_Toc200513174"/>
      <w:bookmarkStart w:id="329" w:name="_Toc317863469"/>
      <w:bookmarkStart w:id="330" w:name="_Toc270"/>
      <w:bookmarkStart w:id="331" w:name="_Toc325636627"/>
      <w:r>
        <w:rPr>
          <w:rFonts w:ascii="Times New Roman" w:hAnsi="Times New Roman" w:eastAsia="方正仿宋_GBK" w:cs="Times New Roman"/>
          <w:b/>
          <w:kern w:val="0"/>
          <w:sz w:val="21"/>
          <w:szCs w:val="21"/>
          <w:highlight w:val="none"/>
        </w:rPr>
        <w:t>9.2 对投标人的纪律要求</w:t>
      </w:r>
      <w:bookmarkEnd w:id="325"/>
      <w:bookmarkEnd w:id="326"/>
      <w:bookmarkEnd w:id="327"/>
      <w:bookmarkEnd w:id="328"/>
      <w:bookmarkEnd w:id="329"/>
      <w:bookmarkEnd w:id="330"/>
      <w:bookmarkEnd w:id="331"/>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32" w:name="_Toc23264"/>
      <w:r>
        <w:rPr>
          <w:rFonts w:ascii="Times New Roman" w:hAnsi="Times New Roman" w:eastAsia="方正仿宋_GBK" w:cs="Times New Roman"/>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bookmarkEnd w:id="332"/>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33" w:name="_Toc200513175"/>
      <w:bookmarkStart w:id="334" w:name="_Toc334774210"/>
      <w:bookmarkStart w:id="335" w:name="_Toc531594776"/>
      <w:bookmarkStart w:id="336" w:name="_Toc317863470"/>
      <w:bookmarkStart w:id="337" w:name="_Toc23543"/>
      <w:bookmarkStart w:id="338" w:name="_Toc325636628"/>
      <w:bookmarkStart w:id="339" w:name="_Toc28310"/>
      <w:r>
        <w:rPr>
          <w:rFonts w:ascii="Times New Roman" w:hAnsi="Times New Roman" w:eastAsia="方正仿宋_GBK" w:cs="Times New Roman"/>
          <w:b/>
          <w:kern w:val="0"/>
          <w:sz w:val="21"/>
          <w:szCs w:val="21"/>
          <w:highlight w:val="none"/>
        </w:rPr>
        <w:t>9.3 对评标委员会成员的纪律要求</w:t>
      </w:r>
      <w:bookmarkEnd w:id="333"/>
      <w:bookmarkEnd w:id="334"/>
      <w:bookmarkEnd w:id="335"/>
      <w:bookmarkEnd w:id="336"/>
      <w:bookmarkEnd w:id="337"/>
      <w:bookmarkEnd w:id="338"/>
      <w:bookmarkEnd w:id="339"/>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40" w:name="_Toc7585"/>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bookmarkEnd w:id="340"/>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41" w:name="_Toc334774211"/>
      <w:bookmarkStart w:id="342" w:name="_Toc18783"/>
      <w:bookmarkStart w:id="343" w:name="_Toc7211"/>
      <w:bookmarkStart w:id="344" w:name="_Toc200513176"/>
      <w:bookmarkStart w:id="345" w:name="_Toc13285"/>
      <w:bookmarkStart w:id="346" w:name="_Toc325636629"/>
      <w:bookmarkStart w:id="347" w:name="_Toc317863471"/>
      <w:bookmarkStart w:id="348" w:name="_Toc531594777"/>
      <w:r>
        <w:rPr>
          <w:rFonts w:ascii="Times New Roman" w:hAnsi="Times New Roman" w:eastAsia="方正仿宋_GBK" w:cs="Times New Roman"/>
          <w:b/>
          <w:kern w:val="0"/>
          <w:sz w:val="21"/>
          <w:szCs w:val="21"/>
          <w:highlight w:val="none"/>
        </w:rPr>
        <w:t>9.4 对与评标活动有关的工作人员的纪律要求</w:t>
      </w:r>
      <w:bookmarkEnd w:id="341"/>
      <w:bookmarkEnd w:id="342"/>
      <w:bookmarkEnd w:id="343"/>
      <w:bookmarkEnd w:id="344"/>
      <w:bookmarkEnd w:id="345"/>
      <w:bookmarkEnd w:id="346"/>
      <w:bookmarkEnd w:id="347"/>
      <w:bookmarkEnd w:id="348"/>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49" w:name="_Toc24318"/>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9"/>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0" w:name="_Toc334774212"/>
      <w:bookmarkStart w:id="351" w:name="_Toc17360"/>
      <w:bookmarkStart w:id="352" w:name="_Toc531594778"/>
      <w:bookmarkStart w:id="353" w:name="_Toc13124"/>
      <w:bookmarkStart w:id="354" w:name="_Toc325636630"/>
      <w:bookmarkStart w:id="355" w:name="_Toc317863472"/>
      <w:bookmarkStart w:id="356" w:name="_Toc30428"/>
      <w:bookmarkStart w:id="357" w:name="_Toc200513177"/>
      <w:r>
        <w:rPr>
          <w:rFonts w:ascii="Times New Roman" w:hAnsi="Times New Roman" w:eastAsia="方正仿宋_GBK" w:cs="Times New Roman"/>
          <w:b/>
          <w:kern w:val="0"/>
          <w:sz w:val="21"/>
          <w:szCs w:val="21"/>
          <w:highlight w:val="none"/>
        </w:rPr>
        <w:t>9.5 投诉</w:t>
      </w:r>
      <w:bookmarkEnd w:id="350"/>
      <w:bookmarkEnd w:id="351"/>
      <w:bookmarkEnd w:id="352"/>
      <w:bookmarkEnd w:id="353"/>
      <w:bookmarkEnd w:id="354"/>
      <w:bookmarkEnd w:id="355"/>
      <w:bookmarkEnd w:id="356"/>
      <w:bookmarkEnd w:id="357"/>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58" w:name="_Toc31534"/>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bookmarkEnd w:id="358"/>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359" w:name="_Toc14201"/>
      <w:bookmarkStart w:id="360" w:name="_Toc6107"/>
      <w:bookmarkStart w:id="361" w:name="_Toc930"/>
      <w:bookmarkStart w:id="362" w:name="_Toc531594779"/>
      <w:bookmarkStart w:id="363" w:name="_Toc334774213"/>
      <w:r>
        <w:rPr>
          <w:rFonts w:ascii="Times New Roman" w:hAnsi="Times New Roman" w:eastAsia="方正楷体_GBK" w:cs="Times New Roman"/>
          <w:b/>
          <w:w w:val="99"/>
          <w:kern w:val="0"/>
          <w:sz w:val="21"/>
          <w:szCs w:val="21"/>
          <w:highlight w:val="none"/>
          <w:lang w:val="zh-CN"/>
        </w:rPr>
        <w:t>10.其他</w:t>
      </w:r>
      <w:bookmarkEnd w:id="359"/>
      <w:bookmarkEnd w:id="360"/>
      <w:bookmarkEnd w:id="361"/>
      <w:bookmarkEnd w:id="362"/>
      <w:bookmarkEnd w:id="363"/>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bookmarkStart w:id="364" w:name="_Toc32376"/>
      <w:r>
        <w:rPr>
          <w:rFonts w:ascii="Times New Roman" w:hAnsi="Times New Roman" w:eastAsia="方正仿宋_GBK" w:cs="Times New Roman"/>
          <w:kern w:val="0"/>
          <w:sz w:val="21"/>
          <w:szCs w:val="21"/>
          <w:highlight w:val="none"/>
        </w:rPr>
        <w:t>其他补充内容要求见投标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w:t>
      </w:r>
      <w:r>
        <w:rPr>
          <w:rFonts w:ascii="Times New Roman" w:hAnsi="Times New Roman" w:eastAsia="方正仿宋_GBK" w:cs="Times New Roman"/>
          <w:kern w:val="0"/>
          <w:sz w:val="21"/>
          <w:szCs w:val="21"/>
          <w:highlight w:val="none"/>
        </w:rPr>
        <w:t>和前附表。</w:t>
      </w:r>
      <w:bookmarkEnd w:id="364"/>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4A98490">
      <w:pPr>
        <w:pStyle w:val="2"/>
        <w:numPr>
          <w:ilvl w:val="0"/>
          <w:numId w:val="0"/>
        </w:numPr>
        <w:spacing w:before="0" w:after="0" w:line="520" w:lineRule="exact"/>
        <w:ind w:firstLine="2201" w:firstLineChars="500"/>
        <w:jc w:val="both"/>
        <w:rPr>
          <w:rFonts w:hint="default" w:ascii="Times New Roman" w:hAnsi="Times New Roman" w:eastAsia="方正小标宋_GBK" w:cs="Times New Roman"/>
        </w:rPr>
      </w:pPr>
      <w:bookmarkStart w:id="365" w:name="_Toc10725332"/>
      <w:bookmarkStart w:id="366" w:name="_Toc5139"/>
      <w:bookmarkStart w:id="367" w:name="_第三章 招标数量及参数要求"/>
      <w:r>
        <w:rPr>
          <w:rFonts w:hint="default" w:ascii="Times New Roman" w:hAnsi="Times New Roman" w:eastAsia="方正小标宋_GBK" w:cs="Times New Roman"/>
          <w:highlight w:val="none"/>
        </w:rPr>
        <w:t>第三章 招标数量及参数要求</w:t>
      </w:r>
      <w:bookmarkEnd w:id="365"/>
      <w:bookmarkEnd w:id="366"/>
    </w:p>
    <w:bookmarkEnd w:id="367"/>
    <w:p w14:paraId="5C707FB5"/>
    <w:p w14:paraId="36E7E6B2">
      <w:pPr>
        <w:spacing w:line="520" w:lineRule="exact"/>
        <w:ind w:firstLine="480" w:firstLineChars="200"/>
        <w:rPr>
          <w:rFonts w:hint="eastAsia" w:ascii="Times New Roman" w:hAnsi="Times New Roman" w:eastAsia="方正仿宋_GBK" w:cs="Times New Roman"/>
          <w:b/>
          <w:bCs/>
          <w:color w:val="auto"/>
          <w:kern w:val="0"/>
          <w:sz w:val="32"/>
          <w:szCs w:val="32"/>
          <w:highlight w:val="none"/>
          <w:lang w:val="en-US" w:eastAsia="zh-CN" w:bidi="en-US"/>
        </w:rPr>
      </w:pPr>
      <w:r>
        <w:rPr>
          <w:rFonts w:hint="eastAsia"/>
          <w:lang w:val="en-US" w:eastAsia="zh-CN"/>
        </w:rPr>
        <w:t xml:space="preserve">   </w:t>
      </w:r>
      <w:r>
        <w:rPr>
          <w:rFonts w:hint="eastAsia" w:ascii="Times New Roman" w:hAnsi="Times New Roman" w:eastAsia="方正小标宋_GBK" w:cs="Times New Roman"/>
          <w:b w:val="0"/>
          <w:bCs w:val="0"/>
          <w:kern w:val="44"/>
          <w:sz w:val="32"/>
          <w:szCs w:val="32"/>
          <w:highlight w:val="none"/>
          <w:lang w:val="en-US" w:eastAsia="zh-CN" w:bidi="ar-SA"/>
        </w:rPr>
        <w:t xml:space="preserve"> </w:t>
      </w:r>
      <w:r>
        <w:rPr>
          <w:rFonts w:hint="eastAsia" w:ascii="Times New Roman" w:hAnsi="Times New Roman" w:eastAsia="方正小标宋_GBK" w:cs="Times New Roman"/>
          <w:b/>
          <w:bCs/>
          <w:kern w:val="44"/>
          <w:sz w:val="32"/>
          <w:szCs w:val="32"/>
          <w:highlight w:val="none"/>
          <w:lang w:val="en-US" w:eastAsia="zh-CN" w:bidi="ar-SA"/>
        </w:rPr>
        <w:t xml:space="preserve"> </w:t>
      </w:r>
      <w:r>
        <w:rPr>
          <w:rFonts w:hint="eastAsia" w:ascii="Times New Roman" w:hAnsi="Times New Roman" w:eastAsia="方正仿宋_GBK" w:cs="Times New Roman"/>
          <w:b/>
          <w:bCs/>
          <w:color w:val="auto"/>
          <w:kern w:val="0"/>
          <w:sz w:val="32"/>
          <w:szCs w:val="32"/>
          <w:highlight w:val="none"/>
          <w:lang w:val="en-US" w:eastAsia="zh-CN" w:bidi="en-US"/>
        </w:rPr>
        <w:t>一、技术要求</w:t>
      </w:r>
    </w:p>
    <w:p w14:paraId="02711F97">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
      </w:pPr>
      <w:r>
        <w:rPr>
          <w:rFonts w:hint="eastAsia" w:ascii="Times New Roman" w:hAnsi="Times New Roman" w:eastAsia="方正仿宋_GBK" w:cs="Times New Roman"/>
          <w:b w:val="0"/>
          <w:bCs/>
          <w:color w:val="auto"/>
          <w:kern w:val="0"/>
          <w:sz w:val="32"/>
          <w:szCs w:val="32"/>
          <w:highlight w:val="none"/>
          <w:lang w:val="en-US" w:eastAsia="zh-CN" w:bidi="en-US"/>
        </w:rPr>
        <w:t>本项目</w:t>
      </w:r>
      <w:r>
        <w:rPr>
          <w:rFonts w:hint="eastAsia" w:ascii="Times New Roman" w:hAnsi="Times New Roman" w:eastAsia="方正仿宋_GBK" w:cs="Times New Roman"/>
          <w:b w:val="0"/>
          <w:bCs/>
          <w:color w:val="auto"/>
          <w:kern w:val="0"/>
          <w:sz w:val="32"/>
          <w:szCs w:val="32"/>
          <w:highlight w:val="none"/>
          <w:lang w:val="en-US" w:eastAsia="zh-CN" w:bidi="en-US"/>
        </w:rPr>
        <w:t>为足球场部分维修项目</w:t>
      </w:r>
      <w:r>
        <w:rPr>
          <w:rFonts w:hint="eastAsia" w:ascii="Times New Roman" w:hAnsi="Times New Roman" w:eastAsia="方正仿宋_GBK" w:cs="Times New Roman"/>
          <w:b w:val="0"/>
          <w:bCs/>
          <w:color w:val="auto"/>
          <w:kern w:val="0"/>
          <w:sz w:val="32"/>
          <w:szCs w:val="32"/>
          <w:highlight w:val="none"/>
          <w:lang w:val="en-US" w:eastAsia="zh-CN" w:bidi="en-US"/>
        </w:rPr>
        <w:t>，请投标单位按照要求进行报价。</w:t>
      </w:r>
    </w:p>
    <w:tbl>
      <w:tblPr>
        <w:tblStyle w:val="42"/>
        <w:tblW w:w="9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881"/>
        <w:gridCol w:w="2317"/>
        <w:gridCol w:w="1340"/>
        <w:gridCol w:w="2618"/>
        <w:gridCol w:w="1335"/>
      </w:tblGrid>
      <w:tr w14:paraId="20FF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CDD">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序号</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B5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区域</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666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问题描述</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1E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数量</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F9D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现场图片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A5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i w:val="0"/>
                <w:iCs w:val="0"/>
                <w:color w:val="000000"/>
                <w:sz w:val="20"/>
                <w:szCs w:val="20"/>
                <w:u w:val="none"/>
              </w:rPr>
            </w:pPr>
            <w:r>
              <w:rPr>
                <w:rFonts w:hint="eastAsia" w:ascii="微软雅黑" w:hAnsi="微软雅黑" w:eastAsia="微软雅黑" w:cs="微软雅黑"/>
                <w:b/>
                <w:i w:val="0"/>
                <w:iCs w:val="0"/>
                <w:color w:val="000000"/>
                <w:kern w:val="0"/>
                <w:sz w:val="20"/>
                <w:szCs w:val="20"/>
                <w:u w:val="none"/>
                <w:lang w:val="en-US" w:eastAsia="zh-CN" w:bidi="ar"/>
              </w:rPr>
              <w:t>备注</w:t>
            </w:r>
          </w:p>
        </w:tc>
      </w:tr>
      <w:tr w14:paraId="2E8E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jc w:val="center"/>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24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81" w:type="dxa"/>
            <w:tcBorders>
              <w:top w:val="nil"/>
              <w:left w:val="single" w:color="000000" w:sz="4" w:space="0"/>
              <w:bottom w:val="single" w:color="000000" w:sz="4" w:space="0"/>
              <w:right w:val="single" w:color="000000" w:sz="4" w:space="0"/>
            </w:tcBorders>
            <w:shd w:val="clear" w:color="auto" w:fill="auto"/>
            <w:vAlign w:val="center"/>
          </w:tcPr>
          <w:p w14:paraId="4E4981DD">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67C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足球场看台维修</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D7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7000㎡</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B1A">
            <w:pPr>
              <w:keepNext w:val="0"/>
              <w:keepLines w:val="0"/>
              <w:widowControl/>
              <w:suppressLineNumbers w:val="0"/>
              <w:snapToGrid w:val="0"/>
              <w:ind w:left="0" w:leftChars="0" w:right="0" w:rightChars="0" w:firstLine="0" w:firstLineChars="0"/>
              <w:jc w:val="center"/>
              <w:textAlignment w:val="center"/>
              <w:rPr>
                <w:rFonts w:hint="eastAsia" w:ascii="微软雅黑" w:hAnsi="宋体" w:eastAsia="微软雅黑" w:cs="宋体"/>
                <w:i w:val="0"/>
                <w:iCs w:val="0"/>
                <w:color w:val="000000"/>
                <w:sz w:val="20"/>
                <w:szCs w:val="24"/>
                <w:u w:val="none"/>
              </w:rPr>
            </w:pPr>
            <w:r>
              <w:rPr>
                <w:rFonts w:hint="eastAsia" w:ascii="微软雅黑" w:hAnsi="宋体" w:eastAsia="微软雅黑" w:cs="宋体"/>
                <w:i w:val="0"/>
                <w:iCs w:val="0"/>
                <w:color w:val="000000"/>
                <w:kern w:val="0"/>
                <w:sz w:val="20"/>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29210</wp:posOffset>
                  </wp:positionV>
                  <wp:extent cx="1489710" cy="607060"/>
                  <wp:effectExtent l="0" t="0" r="15240" b="2540"/>
                  <wp:wrapNone/>
                  <wp:docPr id="1" name="图片_37"/>
                  <wp:cNvGraphicFramePr/>
                  <a:graphic xmlns:a="http://schemas.openxmlformats.org/drawingml/2006/main">
                    <a:graphicData uri="http://schemas.openxmlformats.org/drawingml/2006/picture">
                      <pic:pic xmlns:pic="http://schemas.openxmlformats.org/drawingml/2006/picture">
                        <pic:nvPicPr>
                          <pic:cNvPr id="1" name="图片_37"/>
                          <pic:cNvPicPr/>
                        </pic:nvPicPr>
                        <pic:blipFill>
                          <a:blip r:embed="rId8"/>
                          <a:stretch>
                            <a:fillRect/>
                          </a:stretch>
                        </pic:blipFill>
                        <pic:spPr>
                          <a:xfrm>
                            <a:off x="0" y="0"/>
                            <a:ext cx="1489710" cy="607060"/>
                          </a:xfrm>
                          <a:prstGeom prst="rect">
                            <a:avLst/>
                          </a:prstGeom>
                          <a:noFill/>
                          <a:ln>
                            <a:noFill/>
                          </a:ln>
                        </pic:spPr>
                      </pic:pic>
                    </a:graphicData>
                  </a:graphic>
                </wp:anchor>
              </w:drawing>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6C63">
            <w:pPr>
              <w:snapToGrid w:val="0"/>
              <w:ind w:left="0" w:leftChars="0" w:right="0" w:rightChars="0" w:firstLine="0" w:firstLineChars="0"/>
              <w:jc w:val="center"/>
              <w:rPr>
                <w:rFonts w:hint="eastAsia" w:ascii="微软雅黑" w:hAnsi="宋体" w:eastAsia="微软雅黑" w:cs="宋体"/>
                <w:i w:val="0"/>
                <w:iCs w:val="0"/>
                <w:color w:val="000000"/>
                <w:sz w:val="20"/>
                <w:szCs w:val="24"/>
                <w:u w:val="none"/>
              </w:rPr>
            </w:pPr>
          </w:p>
        </w:tc>
      </w:tr>
    </w:tbl>
    <w:p w14:paraId="1E167F83">
      <w:pPr>
        <w:numPr>
          <w:ilvl w:val="-1"/>
          <w:numId w:val="0"/>
        </w:numPr>
        <w:spacing w:line="520" w:lineRule="exact"/>
        <w:ind w:firstLine="0" w:firstLineChars="0"/>
        <w:rPr>
          <w:rFonts w:hint="eastAsia" w:ascii="Times New Roman" w:hAnsi="Times New Roman" w:eastAsia="方正仿宋_GBK" w:cs="Times New Roman"/>
          <w:b w:val="0"/>
          <w:bCs/>
          <w:color w:val="auto"/>
          <w:kern w:val="0"/>
          <w:sz w:val="32"/>
          <w:szCs w:val="32"/>
          <w:highlight w:val="none"/>
          <w:lang w:val="en-US" w:eastAsia="zh-CN" w:bidi="en-US"/>
        </w:rPr>
      </w:pPr>
    </w:p>
    <w:tbl>
      <w:tblPr>
        <w:tblStyle w:val="42"/>
        <w:tblW w:w="10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605"/>
        <w:gridCol w:w="4002"/>
        <w:gridCol w:w="510"/>
        <w:gridCol w:w="645"/>
        <w:gridCol w:w="1050"/>
        <w:gridCol w:w="1479"/>
        <w:gridCol w:w="1310"/>
      </w:tblGrid>
      <w:tr w14:paraId="191B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F8CDA7">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足球场看台维修报价单（7000㎡）</w:t>
            </w:r>
          </w:p>
        </w:tc>
      </w:tr>
      <w:tr w14:paraId="2723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ED1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A06C">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3B65">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4C0">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3BCC">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BD32">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全费用单价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93F3">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全费用合价</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5EC6">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018F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05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C58C">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环氧底漆</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491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基面处理：清除看台表面浮灰、油污、空鼓及松动部位，打磨平整，含水率控制在≤8%；2. 材料：双组份环氧树脂封闭底漆，配比按产品说明执行；3. 施工：采用辊涂方式施工 1 遍，涂布率约 0.15kg/㎡，确保基面完全封闭、无漏涂，增强后续涂层附着力；4. 养护：常温养护 24 小时以上，无起皱、脱落现象。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DD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C84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78C604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0B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C69">
            <w:pPr>
              <w:snapToGrid w:val="0"/>
              <w:rPr>
                <w:rFonts w:hint="eastAsia" w:ascii="宋体" w:hAnsi="宋体" w:eastAsia="宋体" w:cs="宋体"/>
                <w:i w:val="0"/>
                <w:iCs w:val="0"/>
                <w:color w:val="000000"/>
                <w:sz w:val="18"/>
                <w:szCs w:val="18"/>
                <w:u w:val="none"/>
              </w:rPr>
            </w:pPr>
          </w:p>
        </w:tc>
      </w:tr>
      <w:tr w14:paraId="40E2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F9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6C2B">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环氧中涂</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173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施工条件：底漆干燥固化后施工，基面无浮尘；2. 材料：双组份环氧树脂中涂，可根据需要添加石英砂或腻子粉；3. 施工：采用批刮 / 辊涂方式施工 1 遍，涂布率约 0.12kg/㎡，用于找平基面、增加涂层厚度与耐磨性能；4. 养护：常温养护 24 小时以上，固化后打磨平整，清除浮尘。</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477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50B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E7E17E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4E3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B382">
            <w:pPr>
              <w:snapToGrid w:val="0"/>
              <w:rPr>
                <w:rFonts w:hint="eastAsia" w:ascii="宋体" w:hAnsi="宋体" w:eastAsia="宋体" w:cs="宋体"/>
                <w:i w:val="0"/>
                <w:iCs w:val="0"/>
                <w:color w:val="000000"/>
                <w:sz w:val="18"/>
                <w:szCs w:val="18"/>
                <w:u w:val="none"/>
              </w:rPr>
            </w:pPr>
          </w:p>
        </w:tc>
      </w:tr>
      <w:tr w14:paraId="3505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E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9493">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环氧腻子</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CFED">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基面准备：中涂固化后，对看台裂缝、凹坑进行修补找平；2. 材料：环氧树脂腻子，按配比调配，确保无颗粒、无沉淀；3. 施工：采用批刮方式施工 2 遍，总厚度约 0.3-0.5mm，消除基面细微缺陷，形成平整过渡层；4. 养护与打磨：常温养护 12-24 小时，打磨平整，清除粉尘，为面漆施工做准备。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C3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02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5FCD1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DC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FF86">
            <w:pPr>
              <w:snapToGrid w:val="0"/>
              <w:rPr>
                <w:rFonts w:hint="eastAsia" w:ascii="宋体" w:hAnsi="宋体" w:eastAsia="宋体" w:cs="宋体"/>
                <w:i w:val="0"/>
                <w:iCs w:val="0"/>
                <w:color w:val="000000"/>
                <w:sz w:val="18"/>
                <w:szCs w:val="18"/>
                <w:u w:val="none"/>
              </w:rPr>
            </w:pPr>
          </w:p>
        </w:tc>
      </w:tr>
      <w:tr w14:paraId="1DD9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AA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8C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聚氨酯丙烯酸面漆</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4E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施工条件：腻子层打磨清理完成，基面干燥洁净；2. 材料：双组份聚氨酯丙烯酸面漆，按产品配比调配，具备耐候、耐磨、抗紫外线性能；3. 施工：采用辊涂 / 喷涂方式施工 2 遍，涂布率约 0.1kg/㎡/ 遍，涂层均匀无漏涂、无流挂，形成连续致密的防护面层；4. 养护：常温养护 7 天以上，达到设计强度，具备防滑、耐污、耐候性能。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9C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B7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ACB9F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F3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E131">
            <w:pPr>
              <w:snapToGrid w:val="0"/>
              <w:rPr>
                <w:rFonts w:hint="eastAsia" w:ascii="宋体" w:hAnsi="宋体" w:eastAsia="宋体" w:cs="宋体"/>
                <w:i w:val="0"/>
                <w:iCs w:val="0"/>
                <w:color w:val="000000"/>
                <w:sz w:val="18"/>
                <w:szCs w:val="18"/>
                <w:u w:val="none"/>
              </w:rPr>
            </w:pPr>
          </w:p>
        </w:tc>
      </w:tr>
      <w:tr w14:paraId="2E59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5E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0D7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石英砂</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CCC5">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石英砂：40-80 目优质石英砂，用于中涂 / 面漆层防滑骨料，添加比例按施工工艺要求执行，确保表面防滑颗粒均匀分布；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91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AB0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6957B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F6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983B">
            <w:pPr>
              <w:snapToGrid w:val="0"/>
              <w:rPr>
                <w:rFonts w:hint="eastAsia" w:ascii="宋体" w:hAnsi="宋体" w:eastAsia="宋体" w:cs="宋体"/>
                <w:i w:val="0"/>
                <w:iCs w:val="0"/>
                <w:color w:val="000000"/>
                <w:sz w:val="18"/>
                <w:szCs w:val="18"/>
                <w:u w:val="none"/>
              </w:rPr>
            </w:pPr>
          </w:p>
        </w:tc>
      </w:tr>
      <w:tr w14:paraId="12F9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3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752A">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稀释剂</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DAF7">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稀释剂：专用环氧 / 聚氨酯稀释剂，用于调节涂料施工粘度，适配辊涂 / 喷涂工艺，确保施工流平性；</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F9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0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DB64E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4FA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35E5">
            <w:pPr>
              <w:snapToGrid w:val="0"/>
              <w:rPr>
                <w:rFonts w:hint="eastAsia" w:ascii="宋体" w:hAnsi="宋体" w:eastAsia="宋体" w:cs="宋体"/>
                <w:i w:val="0"/>
                <w:iCs w:val="0"/>
                <w:color w:val="000000"/>
                <w:sz w:val="18"/>
                <w:szCs w:val="18"/>
                <w:u w:val="none"/>
              </w:rPr>
            </w:pPr>
          </w:p>
        </w:tc>
      </w:tr>
      <w:tr w14:paraId="132A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F85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4BAF">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37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含基面处理、材料调配、涂层施工、打磨清理、成品保护等全工序人工费用；2. 含工人食宿、劳保用品、安全防护及现场管理人工成本。</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87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10F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51BA7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C5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F467">
            <w:pPr>
              <w:snapToGrid w:val="0"/>
              <w:rPr>
                <w:rFonts w:hint="eastAsia" w:ascii="宋体" w:hAnsi="宋体" w:eastAsia="宋体" w:cs="宋体"/>
                <w:i w:val="0"/>
                <w:iCs w:val="0"/>
                <w:color w:val="000000"/>
                <w:sz w:val="18"/>
                <w:szCs w:val="18"/>
                <w:u w:val="none"/>
              </w:rPr>
            </w:pPr>
          </w:p>
        </w:tc>
      </w:tr>
      <w:tr w14:paraId="7B50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C6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2B6">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运费</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A88">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含所有材料从厂家至施工现场的运输、装卸、二次搬运费用；2. 含材料仓储保管、损耗补偿费用。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09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F04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0D6B1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BB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BB16">
            <w:pPr>
              <w:snapToGrid w:val="0"/>
              <w:rPr>
                <w:rFonts w:hint="eastAsia" w:ascii="宋体" w:hAnsi="宋体" w:eastAsia="宋体" w:cs="宋体"/>
                <w:i w:val="0"/>
                <w:iCs w:val="0"/>
                <w:color w:val="000000"/>
                <w:sz w:val="18"/>
                <w:szCs w:val="18"/>
                <w:u w:val="none"/>
              </w:rPr>
            </w:pPr>
          </w:p>
        </w:tc>
      </w:tr>
      <w:tr w14:paraId="6F02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69C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F8E">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运营管理费</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BA1">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含项目管理、技术交底、现场协调、质量检测、资料整理等管理费用；2. 含施工工具损耗、安全文明施工、临时设施、质保期服务等配套费用。</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635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B96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0162F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0C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5FCD">
            <w:pPr>
              <w:snapToGrid w:val="0"/>
              <w:rPr>
                <w:rFonts w:hint="eastAsia" w:ascii="宋体" w:hAnsi="宋体" w:eastAsia="宋体" w:cs="宋体"/>
                <w:i w:val="0"/>
                <w:iCs w:val="0"/>
                <w:color w:val="000000"/>
                <w:sz w:val="18"/>
                <w:szCs w:val="18"/>
                <w:u w:val="none"/>
              </w:rPr>
            </w:pPr>
          </w:p>
        </w:tc>
      </w:tr>
    </w:tbl>
    <w:p w14:paraId="7F72205E">
      <w:pPr>
        <w:numPr>
          <w:ilvl w:val="-1"/>
          <w:numId w:val="0"/>
        </w:numPr>
        <w:spacing w:line="520" w:lineRule="exact"/>
        <w:ind w:firstLine="0" w:firstLineChars="0"/>
        <w:rPr>
          <w:rFonts w:hint="eastAsia" w:ascii="Times New Roman" w:hAnsi="Times New Roman" w:eastAsia="方正仿宋_GBK" w:cs="Times New Roman"/>
          <w:b w:val="0"/>
          <w:bCs/>
          <w:color w:val="auto"/>
          <w:kern w:val="0"/>
          <w:sz w:val="32"/>
          <w:szCs w:val="32"/>
          <w:highlight w:val="none"/>
          <w:lang w:val="en-US" w:eastAsia="zh-CN" w:bidi="en-US"/>
        </w:rPr>
      </w:pPr>
    </w:p>
    <w:p w14:paraId="569AE57B">
      <w:pPr>
        <w:spacing w:line="520" w:lineRule="exact"/>
        <w:ind w:firstLine="640" w:firstLineChars="200"/>
        <w:rPr>
          <w:rFonts w:hint="eastAsia" w:ascii="Times New Roman" w:hAnsi="Times New Roman" w:eastAsia="方正仿宋_GBK" w:cs="Times New Roman"/>
          <w:b/>
          <w:bCs w:val="0"/>
          <w:color w:val="auto"/>
          <w:kern w:val="0"/>
          <w:sz w:val="32"/>
          <w:szCs w:val="32"/>
          <w:highlight w:val="none"/>
          <w:lang w:val="en-US" w:eastAsia="zh-CN" w:bidi="en-US"/>
        </w:rPr>
      </w:pPr>
      <w:r>
        <w:rPr>
          <w:rFonts w:hint="eastAsia" w:ascii="Times New Roman" w:hAnsi="Times New Roman" w:eastAsia="方正仿宋_GBK" w:cs="Times New Roman"/>
          <w:b/>
          <w:bCs w:val="0"/>
          <w:color w:val="auto"/>
          <w:kern w:val="0"/>
          <w:sz w:val="32"/>
          <w:szCs w:val="32"/>
          <w:highlight w:val="none"/>
          <w:lang w:val="en-US" w:eastAsia="zh-CN" w:bidi="en-US"/>
        </w:rPr>
        <w:t>二、商务要求</w:t>
      </w:r>
    </w:p>
    <w:p w14:paraId="747545D1">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
      </w:pPr>
      <w:r>
        <w:rPr>
          <w:rFonts w:hint="eastAsia" w:ascii="Times New Roman" w:hAnsi="Times New Roman" w:eastAsia="方正仿宋_GBK" w:cs="Times New Roman"/>
          <w:b w:val="0"/>
          <w:bCs/>
          <w:color w:val="auto"/>
          <w:kern w:val="0"/>
          <w:sz w:val="32"/>
          <w:szCs w:val="32"/>
          <w:highlight w:val="none"/>
          <w:lang w:val="en-US" w:eastAsia="zh-CN" w:bidi="en-US"/>
        </w:rPr>
        <w:t>暑期维修整改项目的注意事项:</w:t>
      </w:r>
    </w:p>
    <w:p w14:paraId="333FE8F2">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
      </w:pPr>
      <w:r>
        <w:rPr>
          <w:rFonts w:hint="eastAsia" w:ascii="Times New Roman" w:hAnsi="Times New Roman" w:eastAsia="方正仿宋_GBK" w:cs="Times New Roman"/>
          <w:b w:val="0"/>
          <w:bCs/>
          <w:color w:val="auto"/>
          <w:kern w:val="0"/>
          <w:sz w:val="32"/>
          <w:szCs w:val="32"/>
          <w:highlight w:val="none"/>
          <w:lang w:val="en-US" w:eastAsia="zh-CN" w:bidi="en-US"/>
        </w:rPr>
        <w:t>(一)完善清单工作内容，提前现场核对确认，对描述模糊、界定不清的维修项，开工前现场踏勘，明确施工范围及内容，形成现场确认记录，减少结算争议。</w:t>
      </w:r>
    </w:p>
    <w:p w14:paraId="149581DE">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
      </w:pPr>
      <w:r>
        <w:rPr>
          <w:rFonts w:hint="eastAsia" w:ascii="Times New Roman" w:hAnsi="Times New Roman" w:eastAsia="方正仿宋_GBK" w:cs="Times New Roman"/>
          <w:b w:val="0"/>
          <w:bCs/>
          <w:color w:val="auto"/>
          <w:kern w:val="0"/>
          <w:sz w:val="32"/>
          <w:szCs w:val="32"/>
          <w:highlight w:val="none"/>
          <w:lang w:val="en-US" w:eastAsia="zh-CN" w:bidi="en-US"/>
        </w:rPr>
        <w:t>(二)细化清单信息，补充完善核心内容:一是主材标注规格参数(如SPC地板厚度、外墙面漆耐候等级、防水卷材型号)，杜绝材料替换风险;二是工序描述全流程(如外墙修复含基层打磨、防水施工含闭水试验)，避免工艺模糊;三是暂估工程量项目提前现场实测，形成书面确认文件。</w:t>
      </w:r>
    </w:p>
    <w:p w14:paraId="72FCCF93">
      <w:pPr>
        <w:numPr>
          <w:ilvl w:val="-1"/>
          <w:numId w:val="0"/>
        </w:numPr>
        <w:spacing w:line="520" w:lineRule="exact"/>
        <w:ind w:firstLine="640" w:firstLineChars="200"/>
        <w:rPr>
          <w:rFonts w:hint="eastAsia" w:ascii="Times New Roman" w:hAnsi="Times New Roman" w:eastAsia="方正仿宋_GBK" w:cs="Times New Roman"/>
          <w:b w:val="0"/>
          <w:bCs/>
          <w:color w:val="auto"/>
          <w:kern w:val="0"/>
          <w:sz w:val="32"/>
          <w:szCs w:val="32"/>
          <w:highlight w:val="none"/>
          <w:lang w:val="en-US" w:eastAsia="zh-CN" w:bidi="en-US"/>
        </w:rPr>
      </w:pPr>
      <w:r>
        <w:rPr>
          <w:rFonts w:hint="eastAsia" w:ascii="Times New Roman" w:hAnsi="Times New Roman" w:eastAsia="方正仿宋_GBK" w:cs="Times New Roman"/>
          <w:b w:val="0"/>
          <w:bCs/>
          <w:color w:val="auto"/>
          <w:kern w:val="0"/>
          <w:sz w:val="32"/>
          <w:szCs w:val="32"/>
          <w:highlight w:val="none"/>
          <w:lang w:val="en-US" w:eastAsia="zh-CN" w:bidi="en-US"/>
        </w:rPr>
        <w:t>(三)重点梳理清单中主材与工序价差失衡问题(如木地板、聚氨酯面漆高价，防水、外墙真石漆工艺低价)，已按重庆本地校园维修市场价对标调整;工序类项目完整计入基层处理、附加层施工等成本，避免漏项或重复计费。</w:t>
      </w:r>
    </w:p>
    <w:p w14:paraId="556185BC">
      <w:pPr>
        <w:numPr>
          <w:ilvl w:val="-1"/>
          <w:numId w:val="0"/>
        </w:numPr>
        <w:spacing w:line="520" w:lineRule="exact"/>
        <w:ind w:firstLine="640" w:firstLineChars="200"/>
        <w:rPr>
          <w:rFonts w:ascii="Times New Roman" w:hAnsi="Times New Roman" w:eastAsia="方正小标宋_GBK" w:cs="Times New Roman"/>
          <w:highlight w:val="none"/>
        </w:rPr>
      </w:pPr>
      <w:r>
        <w:rPr>
          <w:rFonts w:hint="eastAsia" w:ascii="Times New Roman" w:hAnsi="Times New Roman" w:eastAsia="方正仿宋_GBK" w:cs="Times New Roman"/>
          <w:b w:val="0"/>
          <w:bCs/>
          <w:color w:val="auto"/>
          <w:kern w:val="0"/>
          <w:sz w:val="32"/>
          <w:szCs w:val="32"/>
          <w:highlight w:val="none"/>
          <w:lang w:val="en-US" w:eastAsia="zh-CN" w:bidi="en-US"/>
        </w:rPr>
        <w:t>(四)分区域错峰施工，按“非教学区一教学区一生活区”顺序推进，优先完成屋面防水、外墙维修等受天气影响大的项目，预留10-15天缓冲期应对突发情况;提前完成材料采购与进场验收，避免因材料短缺停工，确保开学前完工。</w:t>
      </w:r>
      <w:r>
        <w:rPr>
          <w:rFonts w:ascii="Times New Roman" w:hAnsi="Times New Roman" w:eastAsia="方正小标宋_GBK" w:cs="Times New Roman"/>
          <w:highlight w:val="none"/>
        </w:rPr>
        <w:br w:type="page"/>
      </w:r>
    </w:p>
    <w:p w14:paraId="12FF8715">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bookmarkStart w:id="368" w:name="_Toc14554"/>
      <w:r>
        <w:rPr>
          <w:rFonts w:ascii="Times New Roman" w:hAnsi="Times New Roman" w:eastAsia="方正小标宋_GBK" w:cs="Times New Roman"/>
          <w:highlight w:val="none"/>
        </w:rPr>
        <w:t>第四章 评标原则</w:t>
      </w:r>
      <w:bookmarkEnd w:id="368"/>
    </w:p>
    <w:p w14:paraId="06C29C9A">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369" w:name="_Toc484637076"/>
      <w:bookmarkStart w:id="370" w:name="_Toc481694471"/>
      <w:bookmarkStart w:id="371" w:name="_Toc454373093"/>
      <w:bookmarkStart w:id="372" w:name="_Toc531594799"/>
    </w:p>
    <w:p w14:paraId="56D7A540">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r>
        <w:rPr>
          <w:rFonts w:hint="eastAsia" w:ascii="Times New Roman" w:hAnsi="Times New Roman" w:eastAsia="方正仿宋_GBK" w:cs="Times New Roman"/>
          <w:bCs/>
          <w:color w:val="auto"/>
          <w:kern w:val="0"/>
          <w:sz w:val="32"/>
          <w:szCs w:val="32"/>
          <w:highlight w:val="none"/>
          <w:lang w:val="en-US" w:eastAsia="zh-CN" w:bidi="en-US"/>
        </w:rPr>
        <w:t>本项目采用综合评标法，在满足招标文件全部实质性要求的条件下，综合考虑有效投标文件的报价、工程周期、施工组织方案、公司能力、业绩水平等因素，综合确定中标候选人。</w:t>
      </w:r>
    </w:p>
    <w:p w14:paraId="42A3C9E4">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023B612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30CF133A">
      <w:pPr>
        <w:pStyle w:val="2"/>
        <w:numPr>
          <w:ilvl w:val="0"/>
          <w:numId w:val="0"/>
        </w:numPr>
        <w:spacing w:before="0" w:after="0" w:line="520" w:lineRule="exact"/>
        <w:jc w:val="both"/>
        <w:rPr>
          <w:rFonts w:hint="default" w:ascii="方正小标宋_GBK" w:hAnsi="方正小标宋_GBK" w:eastAsia="方正小标宋_GBK" w:cs="方正小标宋_GBK"/>
          <w:b w:val="0"/>
          <w:bCs w:val="0"/>
          <w:highlight w:val="none"/>
          <w:lang w:val="en-US" w:eastAsia="zh-CN"/>
        </w:rPr>
      </w:pPr>
      <w:bookmarkStart w:id="373" w:name="_第五章 投标文件格式"/>
    </w:p>
    <w:p w14:paraId="18268B0B">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475C8419">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799566F0">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bookmarkStart w:id="374" w:name="_Toc29164"/>
      <w:r>
        <w:rPr>
          <w:rFonts w:hint="eastAsia" w:ascii="方正小标宋_GBK" w:hAnsi="方正小标宋_GBK" w:eastAsia="方正小标宋_GBK" w:cs="方正小标宋_GBK"/>
          <w:b w:val="0"/>
          <w:bCs w:val="0"/>
          <w:highlight w:val="none"/>
        </w:rPr>
        <w:t>第五章 投标文件格式</w:t>
      </w:r>
      <w:bookmarkEnd w:id="369"/>
      <w:bookmarkEnd w:id="370"/>
      <w:bookmarkEnd w:id="371"/>
      <w:bookmarkEnd w:id="372"/>
      <w:bookmarkEnd w:id="374"/>
    </w:p>
    <w:bookmarkEnd w:id="373"/>
    <w:p w14:paraId="38EC56DA">
      <w:pPr>
        <w:spacing w:line="520" w:lineRule="exact"/>
        <w:rPr>
          <w:rFonts w:hint="eastAsia" w:ascii="仿宋" w:hAnsi="仿宋" w:eastAsia="仿宋" w:cs="仿宋"/>
          <w:b/>
          <w:sz w:val="28"/>
          <w:szCs w:val="28"/>
          <w:highlight w:val="none"/>
        </w:rPr>
      </w:pPr>
      <w:bookmarkStart w:id="375" w:name="_Toc425408086"/>
      <w:bookmarkStart w:id="376" w:name="_Toc217446082"/>
      <w:r>
        <w:rPr>
          <w:rFonts w:hint="eastAsia" w:ascii="仿宋" w:hAnsi="仿宋" w:eastAsia="仿宋" w:cs="仿宋"/>
          <w:b/>
          <w:sz w:val="28"/>
          <w:szCs w:val="28"/>
          <w:highlight w:val="none"/>
        </w:rPr>
        <w:t>一、投 标 函</w:t>
      </w:r>
      <w:bookmarkEnd w:id="375"/>
      <w:bookmarkEnd w:id="376"/>
    </w:p>
    <w:p w14:paraId="5DCCB9E4">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120451B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w:t>
      </w:r>
      <w:r>
        <w:rPr>
          <w:rFonts w:hint="eastAsia" w:ascii="仿宋" w:hAnsi="仿宋" w:eastAsia="仿宋" w:cs="仿宋"/>
          <w:sz w:val="28"/>
          <w:szCs w:val="28"/>
          <w:highlight w:val="none"/>
          <w:lang w:eastAsia="zh-CN"/>
        </w:rPr>
        <w:t>维修整改</w:t>
      </w:r>
      <w:r>
        <w:rPr>
          <w:rFonts w:hint="eastAsia" w:ascii="仿宋" w:hAnsi="仿宋" w:eastAsia="仿宋" w:cs="仿宋"/>
          <w:sz w:val="28"/>
          <w:szCs w:val="28"/>
          <w:highlight w:val="none"/>
        </w:rPr>
        <w:t>，并交付采购人验收、使用。</w:t>
      </w:r>
    </w:p>
    <w:p w14:paraId="2BF18508">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6B893DC0">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highlight w:val="none"/>
        </w:rPr>
      </w:pPr>
    </w:p>
    <w:p w14:paraId="793F619E">
      <w:pPr>
        <w:spacing w:line="520" w:lineRule="exact"/>
        <w:ind w:firstLine="537" w:firstLineChars="192"/>
        <w:rPr>
          <w:rFonts w:hint="eastAsia" w:ascii="仿宋" w:hAnsi="仿宋" w:eastAsia="仿宋" w:cs="仿宋"/>
          <w:sz w:val="28"/>
          <w:szCs w:val="28"/>
          <w:highlight w:val="none"/>
        </w:rPr>
      </w:pPr>
    </w:p>
    <w:p w14:paraId="0F90E01D">
      <w:pPr>
        <w:spacing w:line="520" w:lineRule="exact"/>
        <w:ind w:firstLine="537" w:firstLineChars="192"/>
        <w:rPr>
          <w:rFonts w:hint="eastAsia" w:ascii="仿宋" w:hAnsi="仿宋" w:eastAsia="仿宋" w:cs="仿宋"/>
          <w:sz w:val="28"/>
          <w:szCs w:val="28"/>
          <w:highlight w:val="none"/>
        </w:rPr>
      </w:pPr>
    </w:p>
    <w:p w14:paraId="483768F7">
      <w:pPr>
        <w:spacing w:line="520" w:lineRule="exact"/>
        <w:rPr>
          <w:rFonts w:hint="eastAsia" w:ascii="仿宋" w:hAnsi="仿宋" w:eastAsia="仿宋" w:cs="仿宋"/>
          <w:sz w:val="28"/>
          <w:szCs w:val="28"/>
          <w:highlight w:val="none"/>
        </w:rPr>
      </w:pPr>
    </w:p>
    <w:p w14:paraId="77D0E00B">
      <w:pPr>
        <w:spacing w:line="520" w:lineRule="exact"/>
        <w:rPr>
          <w:rFonts w:hint="eastAsia" w:ascii="仿宋" w:hAnsi="仿宋" w:eastAsia="仿宋" w:cs="仿宋"/>
          <w:sz w:val="28"/>
          <w:szCs w:val="28"/>
          <w:highlight w:val="none"/>
        </w:rPr>
      </w:pPr>
    </w:p>
    <w:p w14:paraId="11891FBA">
      <w:pPr>
        <w:spacing w:line="520" w:lineRule="exact"/>
        <w:rPr>
          <w:rFonts w:hint="eastAsia" w:ascii="仿宋" w:hAnsi="仿宋" w:eastAsia="仿宋" w:cs="仿宋"/>
          <w:sz w:val="28"/>
          <w:szCs w:val="28"/>
          <w:highlight w:val="none"/>
        </w:rPr>
      </w:pPr>
    </w:p>
    <w:p w14:paraId="10C2AE1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79E54F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302E7E0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622D6D8C">
      <w:pPr>
        <w:spacing w:line="520" w:lineRule="exact"/>
        <w:rPr>
          <w:rFonts w:hint="eastAsia" w:ascii="仿宋" w:hAnsi="仿宋" w:eastAsia="仿宋" w:cs="仿宋"/>
          <w:b/>
          <w:sz w:val="28"/>
          <w:szCs w:val="28"/>
          <w:highlight w:val="none"/>
        </w:rPr>
      </w:pPr>
      <w:bookmarkStart w:id="377" w:name="_Toc425408087"/>
    </w:p>
    <w:p w14:paraId="6DEA058E">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666D49E9">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377"/>
    </w:p>
    <w:p w14:paraId="09B966A2">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8A3196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D117379">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6187B768">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2E93F17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2AD942D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337633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6F63E294">
      <w:pPr>
        <w:spacing w:line="520" w:lineRule="exact"/>
        <w:ind w:firstLine="537" w:firstLineChars="192"/>
        <w:rPr>
          <w:rFonts w:hint="eastAsia" w:ascii="仿宋" w:hAnsi="仿宋" w:eastAsia="仿宋" w:cs="仿宋"/>
          <w:sz w:val="28"/>
          <w:szCs w:val="28"/>
          <w:highlight w:val="none"/>
        </w:rPr>
      </w:pPr>
    </w:p>
    <w:p w14:paraId="76D7CAC3">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1109622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49D845A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8F5016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A433E7B">
      <w:pPr>
        <w:spacing w:line="520" w:lineRule="exact"/>
        <w:ind w:firstLine="560" w:firstLineChars="200"/>
        <w:rPr>
          <w:rFonts w:hint="eastAsia" w:ascii="仿宋" w:hAnsi="仿宋" w:eastAsia="仿宋" w:cs="仿宋"/>
          <w:sz w:val="28"/>
          <w:szCs w:val="28"/>
          <w:highlight w:val="none"/>
        </w:rPr>
      </w:pPr>
    </w:p>
    <w:p w14:paraId="40C0D6C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40FBEE2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1BEB220F">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3A118F7">
      <w:pPr>
        <w:spacing w:line="500" w:lineRule="exact"/>
        <w:ind w:firstLine="463" w:firstLineChars="192"/>
        <w:rPr>
          <w:rFonts w:hint="eastAsia" w:asciiTheme="minorEastAsia" w:hAnsiTheme="minorEastAsia" w:eastAsiaTheme="minorEastAsia"/>
          <w:b/>
          <w:szCs w:val="28"/>
          <w:highlight w:val="none"/>
        </w:rPr>
        <w:sectPr>
          <w:headerReference r:id="rId5" w:type="default"/>
          <w:footerReference r:id="rId6"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bookmarkStart w:id="378" w:name="_Toc2033"/>
      <w:r>
        <w:rPr>
          <w:rFonts w:hint="eastAsia" w:ascii="仿宋" w:hAnsi="仿宋" w:eastAsia="仿宋" w:cs="仿宋"/>
          <w:b/>
          <w:w w:val="99"/>
          <w:kern w:val="0"/>
          <w:sz w:val="28"/>
          <w:szCs w:val="28"/>
          <w:highlight w:val="none"/>
          <w:lang w:val="zh-CN"/>
        </w:rPr>
        <w:t>三、投标人基本情况表</w:t>
      </w:r>
      <w:bookmarkEnd w:id="378"/>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1CFCA453">
            <w:pPr>
              <w:spacing w:line="500" w:lineRule="exact"/>
              <w:rPr>
                <w:rFonts w:hint="eastAsia" w:ascii="宋体" w:hAnsi="宋体" w:cs="宋体"/>
                <w:kern w:val="0"/>
                <w:sz w:val="21"/>
                <w:szCs w:val="21"/>
                <w:highlight w:val="none"/>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49969866">
            <w:pPr>
              <w:spacing w:line="500" w:lineRule="exact"/>
              <w:rPr>
                <w:rFonts w:hint="eastAsia" w:ascii="宋体" w:hAnsi="宋体" w:cs="宋体"/>
                <w:kern w:val="0"/>
                <w:sz w:val="21"/>
                <w:szCs w:val="21"/>
                <w:highlight w:val="none"/>
              </w:rPr>
            </w:pPr>
          </w:p>
        </w:tc>
        <w:tc>
          <w:tcPr>
            <w:tcW w:w="1319" w:type="dxa"/>
            <w:vAlign w:val="center"/>
          </w:tcPr>
          <w:p w14:paraId="316170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224AF9F">
            <w:pPr>
              <w:spacing w:line="500" w:lineRule="exact"/>
              <w:rPr>
                <w:rFonts w:hint="eastAsia" w:ascii="宋体" w:hAnsi="宋体" w:cs="宋体"/>
                <w:kern w:val="0"/>
                <w:sz w:val="21"/>
                <w:szCs w:val="21"/>
                <w:highlight w:val="none"/>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87407E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7661045C">
            <w:pPr>
              <w:spacing w:line="500" w:lineRule="exact"/>
              <w:rPr>
                <w:rFonts w:hint="eastAsia" w:ascii="宋体" w:hAnsi="宋体" w:cs="宋体"/>
                <w:kern w:val="0"/>
                <w:sz w:val="21"/>
                <w:szCs w:val="21"/>
                <w:highlight w:val="none"/>
              </w:rPr>
            </w:pPr>
          </w:p>
        </w:tc>
        <w:tc>
          <w:tcPr>
            <w:tcW w:w="1327" w:type="dxa"/>
            <w:gridSpan w:val="2"/>
            <w:vAlign w:val="center"/>
          </w:tcPr>
          <w:p w14:paraId="02F121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77A0054A">
            <w:pPr>
              <w:spacing w:line="500" w:lineRule="exact"/>
              <w:rPr>
                <w:rFonts w:hint="eastAsia" w:ascii="宋体" w:hAnsi="宋体" w:cs="宋体"/>
                <w:kern w:val="0"/>
                <w:sz w:val="21"/>
                <w:szCs w:val="21"/>
                <w:highlight w:val="none"/>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highlight w:val="none"/>
              </w:rPr>
            </w:pPr>
          </w:p>
        </w:tc>
        <w:tc>
          <w:tcPr>
            <w:tcW w:w="1080" w:type="dxa"/>
            <w:gridSpan w:val="2"/>
            <w:vAlign w:val="center"/>
          </w:tcPr>
          <w:p w14:paraId="68ECDB1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19EE689">
            <w:pPr>
              <w:spacing w:line="500" w:lineRule="exact"/>
              <w:rPr>
                <w:rFonts w:hint="eastAsia" w:ascii="宋体" w:hAnsi="宋体" w:cs="宋体"/>
                <w:kern w:val="0"/>
                <w:sz w:val="21"/>
                <w:szCs w:val="21"/>
                <w:highlight w:val="none"/>
              </w:rPr>
            </w:pPr>
          </w:p>
        </w:tc>
        <w:tc>
          <w:tcPr>
            <w:tcW w:w="1327" w:type="dxa"/>
            <w:gridSpan w:val="2"/>
            <w:vAlign w:val="center"/>
          </w:tcPr>
          <w:p w14:paraId="27FF116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7F4B6B04">
            <w:pPr>
              <w:spacing w:line="500" w:lineRule="exact"/>
              <w:rPr>
                <w:rFonts w:hint="eastAsia" w:ascii="宋体" w:hAnsi="宋体" w:cs="宋体"/>
                <w:kern w:val="0"/>
                <w:sz w:val="21"/>
                <w:szCs w:val="21"/>
                <w:highlight w:val="none"/>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68B91C79">
            <w:pPr>
              <w:spacing w:line="500" w:lineRule="exact"/>
              <w:rPr>
                <w:rFonts w:hint="eastAsia" w:ascii="宋体" w:hAnsi="宋体" w:cs="宋体"/>
                <w:kern w:val="0"/>
                <w:sz w:val="21"/>
                <w:szCs w:val="21"/>
                <w:highlight w:val="none"/>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4689D8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C6FEC5B">
            <w:pPr>
              <w:spacing w:line="500" w:lineRule="exact"/>
              <w:rPr>
                <w:rFonts w:hint="eastAsia" w:ascii="宋体" w:hAnsi="宋体" w:cs="宋体"/>
                <w:kern w:val="0"/>
                <w:sz w:val="21"/>
                <w:szCs w:val="21"/>
                <w:highlight w:val="none"/>
              </w:rPr>
            </w:pPr>
          </w:p>
        </w:tc>
        <w:tc>
          <w:tcPr>
            <w:tcW w:w="1177" w:type="dxa"/>
            <w:vAlign w:val="center"/>
          </w:tcPr>
          <w:p w14:paraId="7CCB2E4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9BA7398">
            <w:pPr>
              <w:spacing w:line="500" w:lineRule="exact"/>
              <w:rPr>
                <w:rFonts w:hint="eastAsia" w:ascii="宋体" w:hAnsi="宋体" w:cs="宋体"/>
                <w:kern w:val="0"/>
                <w:sz w:val="21"/>
                <w:szCs w:val="21"/>
                <w:highlight w:val="none"/>
              </w:rPr>
            </w:pPr>
          </w:p>
        </w:tc>
        <w:tc>
          <w:tcPr>
            <w:tcW w:w="1173" w:type="dxa"/>
            <w:gridSpan w:val="2"/>
            <w:vAlign w:val="center"/>
          </w:tcPr>
          <w:p w14:paraId="20F14AF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63D68B4C">
            <w:pPr>
              <w:spacing w:line="500" w:lineRule="exact"/>
              <w:rPr>
                <w:rFonts w:hint="eastAsia" w:ascii="宋体" w:hAnsi="宋体" w:cs="宋体"/>
                <w:b/>
                <w:bCs/>
                <w:kern w:val="0"/>
                <w:sz w:val="21"/>
                <w:szCs w:val="21"/>
                <w:highlight w:val="none"/>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0BE1E0C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378E731">
            <w:pPr>
              <w:spacing w:line="500" w:lineRule="exact"/>
              <w:rPr>
                <w:rFonts w:hint="eastAsia" w:ascii="宋体" w:hAnsi="宋体" w:cs="宋体"/>
                <w:kern w:val="0"/>
                <w:sz w:val="21"/>
                <w:szCs w:val="21"/>
                <w:highlight w:val="none"/>
              </w:rPr>
            </w:pPr>
          </w:p>
        </w:tc>
        <w:tc>
          <w:tcPr>
            <w:tcW w:w="1177" w:type="dxa"/>
            <w:vAlign w:val="center"/>
          </w:tcPr>
          <w:p w14:paraId="004A25C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3798418C">
            <w:pPr>
              <w:spacing w:line="500" w:lineRule="exact"/>
              <w:rPr>
                <w:rFonts w:hint="eastAsia" w:ascii="宋体" w:hAnsi="宋体" w:cs="宋体"/>
                <w:kern w:val="0"/>
                <w:sz w:val="21"/>
                <w:szCs w:val="21"/>
                <w:highlight w:val="none"/>
              </w:rPr>
            </w:pPr>
          </w:p>
        </w:tc>
        <w:tc>
          <w:tcPr>
            <w:tcW w:w="1173" w:type="dxa"/>
            <w:gridSpan w:val="2"/>
            <w:vAlign w:val="center"/>
          </w:tcPr>
          <w:p w14:paraId="6717742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09D09BD2">
            <w:pPr>
              <w:spacing w:line="500" w:lineRule="exact"/>
              <w:rPr>
                <w:rFonts w:hint="eastAsia" w:ascii="宋体" w:hAnsi="宋体" w:cs="宋体"/>
                <w:b/>
                <w:bCs/>
                <w:kern w:val="0"/>
                <w:sz w:val="21"/>
                <w:szCs w:val="21"/>
                <w:highlight w:val="none"/>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650F10F1">
            <w:pPr>
              <w:spacing w:line="500" w:lineRule="exact"/>
              <w:rPr>
                <w:rFonts w:hint="eastAsia" w:ascii="宋体" w:hAnsi="宋体" w:cs="宋体"/>
                <w:kern w:val="0"/>
                <w:sz w:val="21"/>
                <w:szCs w:val="21"/>
                <w:highlight w:val="none"/>
              </w:rPr>
            </w:pPr>
          </w:p>
        </w:tc>
        <w:tc>
          <w:tcPr>
            <w:tcW w:w="5328" w:type="dxa"/>
            <w:gridSpan w:val="6"/>
            <w:vAlign w:val="center"/>
          </w:tcPr>
          <w:p w14:paraId="0E09D27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2FAE9E90">
            <w:pPr>
              <w:spacing w:line="500" w:lineRule="exact"/>
              <w:rPr>
                <w:rFonts w:hint="eastAsia" w:ascii="宋体" w:hAnsi="宋体" w:cs="宋体"/>
                <w:kern w:val="0"/>
                <w:sz w:val="21"/>
                <w:szCs w:val="21"/>
                <w:highlight w:val="none"/>
              </w:rPr>
            </w:pPr>
          </w:p>
        </w:tc>
        <w:tc>
          <w:tcPr>
            <w:tcW w:w="1177" w:type="dxa"/>
            <w:vMerge w:val="restart"/>
            <w:vAlign w:val="center"/>
          </w:tcPr>
          <w:p w14:paraId="5905D5F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FEDAA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BBBD7DE">
            <w:pPr>
              <w:spacing w:line="500" w:lineRule="exact"/>
              <w:rPr>
                <w:rFonts w:hint="eastAsia" w:ascii="宋体" w:hAnsi="宋体" w:cs="宋体"/>
                <w:b/>
                <w:bCs/>
                <w:kern w:val="0"/>
                <w:sz w:val="21"/>
                <w:szCs w:val="21"/>
                <w:highlight w:val="none"/>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72A646DD">
            <w:pPr>
              <w:spacing w:line="500" w:lineRule="exact"/>
              <w:rPr>
                <w:rFonts w:hint="eastAsia" w:ascii="宋体" w:hAnsi="宋体" w:cs="宋体"/>
                <w:kern w:val="0"/>
                <w:sz w:val="21"/>
                <w:szCs w:val="21"/>
                <w:highlight w:val="none"/>
              </w:rPr>
            </w:pPr>
          </w:p>
        </w:tc>
        <w:tc>
          <w:tcPr>
            <w:tcW w:w="1177" w:type="dxa"/>
            <w:vMerge w:val="continue"/>
            <w:vAlign w:val="center"/>
          </w:tcPr>
          <w:p w14:paraId="6FF973C2">
            <w:pPr>
              <w:spacing w:line="500" w:lineRule="exact"/>
              <w:rPr>
                <w:rFonts w:hint="eastAsia" w:ascii="宋体" w:hAnsi="宋体" w:cs="宋体"/>
                <w:kern w:val="0"/>
                <w:sz w:val="21"/>
                <w:szCs w:val="21"/>
                <w:highlight w:val="none"/>
              </w:rPr>
            </w:pPr>
          </w:p>
        </w:tc>
        <w:tc>
          <w:tcPr>
            <w:tcW w:w="1883" w:type="dxa"/>
            <w:gridSpan w:val="3"/>
            <w:vAlign w:val="center"/>
          </w:tcPr>
          <w:p w14:paraId="4FDAD3D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18FD840C">
            <w:pPr>
              <w:spacing w:line="500" w:lineRule="exact"/>
              <w:rPr>
                <w:rFonts w:hint="eastAsia" w:ascii="宋体" w:hAnsi="宋体" w:cs="宋体"/>
                <w:b/>
                <w:bCs/>
                <w:kern w:val="0"/>
                <w:sz w:val="21"/>
                <w:szCs w:val="21"/>
                <w:highlight w:val="none"/>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3A9FB92D">
            <w:pPr>
              <w:spacing w:line="500" w:lineRule="exact"/>
              <w:rPr>
                <w:rFonts w:hint="eastAsia" w:ascii="宋体" w:hAnsi="宋体" w:cs="宋体"/>
                <w:kern w:val="0"/>
                <w:sz w:val="21"/>
                <w:szCs w:val="21"/>
                <w:highlight w:val="none"/>
              </w:rPr>
            </w:pPr>
          </w:p>
        </w:tc>
        <w:tc>
          <w:tcPr>
            <w:tcW w:w="1177" w:type="dxa"/>
            <w:vMerge w:val="continue"/>
            <w:vAlign w:val="center"/>
          </w:tcPr>
          <w:p w14:paraId="1C8FB7C2">
            <w:pPr>
              <w:spacing w:line="500" w:lineRule="exact"/>
              <w:rPr>
                <w:rFonts w:hint="eastAsia" w:ascii="宋体" w:hAnsi="宋体" w:cs="宋体"/>
                <w:kern w:val="0"/>
                <w:sz w:val="21"/>
                <w:szCs w:val="21"/>
                <w:highlight w:val="none"/>
              </w:rPr>
            </w:pPr>
          </w:p>
        </w:tc>
        <w:tc>
          <w:tcPr>
            <w:tcW w:w="1883" w:type="dxa"/>
            <w:gridSpan w:val="3"/>
            <w:vAlign w:val="center"/>
          </w:tcPr>
          <w:p w14:paraId="5089611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415ECAD5">
            <w:pPr>
              <w:spacing w:line="500" w:lineRule="exact"/>
              <w:rPr>
                <w:rFonts w:hint="eastAsia" w:ascii="宋体" w:hAnsi="宋体" w:cs="宋体"/>
                <w:b/>
                <w:bCs/>
                <w:kern w:val="0"/>
                <w:sz w:val="21"/>
                <w:szCs w:val="21"/>
                <w:highlight w:val="none"/>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2D8D6B47">
            <w:pPr>
              <w:spacing w:line="500" w:lineRule="exact"/>
              <w:rPr>
                <w:rFonts w:hint="eastAsia" w:ascii="宋体" w:hAnsi="宋体" w:cs="宋体"/>
                <w:kern w:val="0"/>
                <w:sz w:val="21"/>
                <w:szCs w:val="21"/>
                <w:highlight w:val="none"/>
              </w:rPr>
            </w:pPr>
          </w:p>
        </w:tc>
        <w:tc>
          <w:tcPr>
            <w:tcW w:w="1177" w:type="dxa"/>
            <w:vMerge w:val="continue"/>
            <w:vAlign w:val="center"/>
          </w:tcPr>
          <w:p w14:paraId="255945A2">
            <w:pPr>
              <w:spacing w:line="500" w:lineRule="exact"/>
              <w:rPr>
                <w:rFonts w:hint="eastAsia" w:ascii="宋体" w:hAnsi="宋体" w:cs="宋体"/>
                <w:kern w:val="0"/>
                <w:sz w:val="21"/>
                <w:szCs w:val="21"/>
                <w:highlight w:val="none"/>
              </w:rPr>
            </w:pPr>
          </w:p>
        </w:tc>
        <w:tc>
          <w:tcPr>
            <w:tcW w:w="1883" w:type="dxa"/>
            <w:gridSpan w:val="3"/>
            <w:vAlign w:val="center"/>
          </w:tcPr>
          <w:p w14:paraId="6CD10C3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2ACEE5A3">
            <w:pPr>
              <w:spacing w:line="500" w:lineRule="exact"/>
              <w:rPr>
                <w:rFonts w:hint="eastAsia" w:ascii="宋体" w:hAnsi="宋体" w:cs="宋体"/>
                <w:b/>
                <w:bCs/>
                <w:kern w:val="0"/>
                <w:sz w:val="21"/>
                <w:szCs w:val="21"/>
                <w:highlight w:val="none"/>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3324467C">
            <w:pPr>
              <w:spacing w:line="500" w:lineRule="exact"/>
              <w:rPr>
                <w:rFonts w:hint="eastAsia" w:ascii="宋体" w:hAnsi="宋体" w:cs="宋体"/>
                <w:kern w:val="0"/>
                <w:sz w:val="21"/>
                <w:szCs w:val="21"/>
                <w:highlight w:val="none"/>
              </w:rPr>
            </w:pPr>
          </w:p>
        </w:tc>
        <w:tc>
          <w:tcPr>
            <w:tcW w:w="1177" w:type="dxa"/>
            <w:vMerge w:val="continue"/>
            <w:vAlign w:val="center"/>
          </w:tcPr>
          <w:p w14:paraId="11B0E50E">
            <w:pPr>
              <w:spacing w:line="500" w:lineRule="exact"/>
              <w:rPr>
                <w:rFonts w:hint="eastAsia" w:ascii="宋体" w:hAnsi="宋体" w:cs="宋体"/>
                <w:kern w:val="0"/>
                <w:sz w:val="21"/>
                <w:szCs w:val="21"/>
                <w:highlight w:val="none"/>
              </w:rPr>
            </w:pPr>
          </w:p>
        </w:tc>
        <w:tc>
          <w:tcPr>
            <w:tcW w:w="1883" w:type="dxa"/>
            <w:gridSpan w:val="3"/>
            <w:vAlign w:val="center"/>
          </w:tcPr>
          <w:p w14:paraId="4A5014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7D1DA82F">
            <w:pPr>
              <w:spacing w:line="500" w:lineRule="exact"/>
              <w:rPr>
                <w:rFonts w:hint="eastAsia" w:ascii="宋体" w:hAnsi="宋体" w:cs="宋体"/>
                <w:b/>
                <w:bCs/>
                <w:kern w:val="0"/>
                <w:sz w:val="21"/>
                <w:szCs w:val="21"/>
                <w:highlight w:val="none"/>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392683E8">
            <w:pPr>
              <w:spacing w:line="500" w:lineRule="exact"/>
              <w:rPr>
                <w:rFonts w:hint="eastAsia" w:ascii="宋体" w:hAnsi="宋体" w:cs="宋体"/>
                <w:b/>
                <w:bCs/>
                <w:kern w:val="0"/>
                <w:sz w:val="21"/>
                <w:szCs w:val="21"/>
                <w:highlight w:val="none"/>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A0B36B8">
            <w:pPr>
              <w:spacing w:line="500" w:lineRule="exact"/>
              <w:rPr>
                <w:rFonts w:hint="eastAsia" w:ascii="宋体" w:hAnsi="宋体" w:cs="宋体"/>
                <w:kern w:val="0"/>
                <w:sz w:val="21"/>
                <w:szCs w:val="21"/>
                <w:highlight w:val="none"/>
              </w:rPr>
            </w:pPr>
          </w:p>
        </w:tc>
      </w:tr>
    </w:tbl>
    <w:p w14:paraId="5FF945BF">
      <w:pPr>
        <w:spacing w:line="500" w:lineRule="exact"/>
        <w:rPr>
          <w:rFonts w:hint="eastAsia" w:asciiTheme="minorEastAsia" w:hAnsiTheme="minorEastAsia" w:eastAsiaTheme="minorEastAsia"/>
          <w:b/>
          <w:szCs w:val="28"/>
          <w:highlight w:val="none"/>
        </w:rPr>
      </w:pPr>
    </w:p>
    <w:p w14:paraId="78F595B0">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007C70F6">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41062FC2">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5630DA1">
      <w:pPr>
        <w:spacing w:line="500" w:lineRule="exact"/>
        <w:ind w:firstLine="616" w:firstLineChars="257"/>
        <w:rPr>
          <w:rFonts w:hint="eastAsia" w:asciiTheme="minorEastAsia" w:hAnsiTheme="minorEastAsia" w:eastAsiaTheme="minorEastAsia"/>
          <w:highlight w:val="none"/>
        </w:rPr>
      </w:pPr>
    </w:p>
    <w:p w14:paraId="640EAADC">
      <w:pPr>
        <w:rPr>
          <w:rFonts w:hint="eastAsia" w:asciiTheme="minorEastAsia" w:hAnsiTheme="minorEastAsia" w:eastAsiaTheme="minorEastAsia"/>
          <w:b/>
          <w:sz w:val="28"/>
          <w:szCs w:val="28"/>
          <w:highlight w:val="none"/>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bookmarkStart w:id="379" w:name="_Toc7138"/>
      <w:r>
        <w:rPr>
          <w:rFonts w:hint="eastAsia" w:ascii="仿宋" w:hAnsi="仿宋" w:eastAsia="仿宋" w:cs="仿宋"/>
          <w:b/>
          <w:w w:val="99"/>
          <w:kern w:val="0"/>
          <w:sz w:val="28"/>
          <w:szCs w:val="28"/>
          <w:highlight w:val="none"/>
          <w:lang w:val="zh-CN"/>
        </w:rPr>
        <w:t>四、响应文件</w:t>
      </w:r>
      <w:bookmarkEnd w:id="379"/>
    </w:p>
    <w:p w14:paraId="7A65A16E">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101CF555">
      <w:pPr>
        <w:spacing w:line="500" w:lineRule="exact"/>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分项报价</w:t>
      </w:r>
      <w:r>
        <w:rPr>
          <w:rFonts w:hint="eastAsia" w:ascii="仿宋" w:hAnsi="仿宋" w:eastAsia="仿宋" w:cs="仿宋"/>
          <w:b/>
          <w:bCs/>
          <w:kern w:val="0"/>
          <w:sz w:val="28"/>
          <w:szCs w:val="28"/>
          <w:highlight w:val="none"/>
          <w:lang w:val="en-US" w:eastAsia="zh-CN"/>
        </w:rPr>
        <w:t>、施工组织方案、工期等</w:t>
      </w:r>
    </w:p>
    <w:p w14:paraId="41FC7195">
      <w:pPr>
        <w:spacing w:line="500" w:lineRule="exact"/>
        <w:rPr>
          <w:rFonts w:hint="eastAsia" w:asciiTheme="minorEastAsia" w:hAnsiTheme="minorEastAsia" w:eastAsiaTheme="minorEastAsia"/>
          <w:bCs/>
          <w:szCs w:val="28"/>
          <w:highlight w:val="none"/>
        </w:rPr>
      </w:pPr>
    </w:p>
    <w:p w14:paraId="0C9E3859">
      <w:pPr>
        <w:spacing w:line="500" w:lineRule="exact"/>
        <w:rPr>
          <w:rFonts w:hint="eastAsia" w:asciiTheme="minorEastAsia" w:hAnsiTheme="minorEastAsia" w:eastAsiaTheme="minorEastAsia"/>
          <w:bCs/>
          <w:szCs w:val="28"/>
          <w:highlight w:val="none"/>
        </w:rPr>
      </w:pPr>
    </w:p>
    <w:p w14:paraId="2CE4724B">
      <w:pPr>
        <w:spacing w:line="500" w:lineRule="exact"/>
        <w:rPr>
          <w:rFonts w:hint="eastAsia" w:asciiTheme="minorEastAsia" w:hAnsiTheme="minorEastAsia" w:eastAsiaTheme="minorEastAsia"/>
          <w:bCs/>
          <w:szCs w:val="28"/>
          <w:highlight w:val="none"/>
        </w:rPr>
      </w:pPr>
    </w:p>
    <w:p w14:paraId="5301776B">
      <w:pPr>
        <w:spacing w:line="500" w:lineRule="exact"/>
        <w:rPr>
          <w:rFonts w:hint="eastAsia" w:asciiTheme="minorEastAsia" w:hAnsiTheme="minorEastAsia" w:eastAsiaTheme="minorEastAsia"/>
          <w:bCs/>
          <w:szCs w:val="28"/>
          <w:highlight w:val="none"/>
        </w:rPr>
      </w:pPr>
    </w:p>
    <w:p w14:paraId="7A4F2B58">
      <w:pPr>
        <w:spacing w:line="500" w:lineRule="exact"/>
        <w:rPr>
          <w:rFonts w:hint="eastAsia" w:asciiTheme="minorEastAsia" w:hAnsiTheme="minorEastAsia" w:eastAsiaTheme="minorEastAsia"/>
          <w:bCs/>
          <w:szCs w:val="28"/>
          <w:highlight w:val="none"/>
        </w:rPr>
      </w:pPr>
    </w:p>
    <w:p w14:paraId="4A3EC940">
      <w:pPr>
        <w:spacing w:line="500" w:lineRule="exact"/>
        <w:rPr>
          <w:rFonts w:hint="eastAsia" w:asciiTheme="minorEastAsia" w:hAnsiTheme="minorEastAsia" w:eastAsiaTheme="minorEastAsia"/>
          <w:bCs/>
          <w:szCs w:val="28"/>
          <w:highlight w:val="none"/>
        </w:rPr>
      </w:pPr>
    </w:p>
    <w:p w14:paraId="65BB86DF">
      <w:pPr>
        <w:spacing w:line="500" w:lineRule="exact"/>
        <w:rPr>
          <w:rFonts w:hint="eastAsia" w:asciiTheme="minorEastAsia" w:hAnsiTheme="minorEastAsia" w:eastAsiaTheme="minorEastAsia"/>
          <w:bCs/>
          <w:szCs w:val="28"/>
          <w:highlight w:val="none"/>
        </w:rPr>
      </w:pPr>
    </w:p>
    <w:p w14:paraId="6632050E">
      <w:pPr>
        <w:spacing w:line="500" w:lineRule="exact"/>
        <w:rPr>
          <w:rFonts w:hint="eastAsia" w:asciiTheme="minorEastAsia" w:hAnsiTheme="minorEastAsia" w:eastAsiaTheme="minorEastAsia"/>
          <w:bCs/>
          <w:szCs w:val="28"/>
          <w:highlight w:val="none"/>
        </w:rPr>
      </w:pPr>
    </w:p>
    <w:p w14:paraId="27F8E771">
      <w:pPr>
        <w:spacing w:line="500" w:lineRule="exact"/>
        <w:rPr>
          <w:rFonts w:hint="eastAsia" w:asciiTheme="minorEastAsia" w:hAnsiTheme="minorEastAsia" w:eastAsiaTheme="minorEastAsia"/>
          <w:bCs/>
          <w:szCs w:val="28"/>
          <w:highlight w:val="none"/>
        </w:rPr>
      </w:pPr>
    </w:p>
    <w:p w14:paraId="12D3AF79">
      <w:pPr>
        <w:spacing w:line="500" w:lineRule="exact"/>
        <w:rPr>
          <w:rFonts w:hint="eastAsia" w:asciiTheme="minorEastAsia" w:hAnsiTheme="minorEastAsia" w:eastAsiaTheme="minorEastAsia"/>
          <w:bCs/>
          <w:szCs w:val="28"/>
          <w:highlight w:val="none"/>
        </w:rPr>
      </w:pPr>
    </w:p>
    <w:p w14:paraId="5DFF6B21">
      <w:pPr>
        <w:spacing w:line="500" w:lineRule="exact"/>
        <w:rPr>
          <w:rFonts w:hint="eastAsia" w:asciiTheme="minorEastAsia" w:hAnsiTheme="minorEastAsia" w:eastAsiaTheme="minorEastAsia"/>
          <w:bCs/>
          <w:szCs w:val="28"/>
          <w:highlight w:val="none"/>
        </w:rPr>
      </w:pPr>
    </w:p>
    <w:p w14:paraId="2ABDB758">
      <w:pPr>
        <w:spacing w:line="500" w:lineRule="exact"/>
        <w:rPr>
          <w:rFonts w:hint="eastAsia" w:asciiTheme="minorEastAsia" w:hAnsiTheme="minorEastAsia" w:eastAsiaTheme="minorEastAsia"/>
          <w:bCs/>
          <w:szCs w:val="28"/>
          <w:highlight w:val="none"/>
        </w:rPr>
      </w:pPr>
    </w:p>
    <w:p w14:paraId="4B2F6317">
      <w:pPr>
        <w:spacing w:line="500" w:lineRule="exact"/>
        <w:rPr>
          <w:rFonts w:hint="eastAsia" w:asciiTheme="minorEastAsia" w:hAnsiTheme="minorEastAsia" w:eastAsiaTheme="minorEastAsia"/>
          <w:bCs/>
          <w:szCs w:val="28"/>
          <w:highlight w:val="none"/>
        </w:rPr>
      </w:pPr>
    </w:p>
    <w:p w14:paraId="73F94511">
      <w:pPr>
        <w:spacing w:line="500" w:lineRule="exact"/>
        <w:rPr>
          <w:rFonts w:hint="eastAsia" w:asciiTheme="minorEastAsia" w:hAnsiTheme="minorEastAsia" w:eastAsiaTheme="minorEastAsia"/>
          <w:bCs/>
          <w:szCs w:val="28"/>
          <w:highlight w:val="none"/>
        </w:rPr>
      </w:pPr>
    </w:p>
    <w:p w14:paraId="3CDB839A">
      <w:pPr>
        <w:spacing w:line="500" w:lineRule="exact"/>
        <w:rPr>
          <w:rFonts w:hint="eastAsia" w:asciiTheme="minorEastAsia" w:hAnsiTheme="minorEastAsia" w:eastAsiaTheme="minorEastAsia"/>
          <w:bCs/>
          <w:szCs w:val="28"/>
          <w:highlight w:val="none"/>
        </w:rPr>
      </w:pPr>
    </w:p>
    <w:p w14:paraId="4C549079">
      <w:pPr>
        <w:spacing w:line="500" w:lineRule="exact"/>
        <w:rPr>
          <w:rFonts w:hint="eastAsia" w:asciiTheme="minorEastAsia" w:hAnsiTheme="minorEastAsia" w:eastAsiaTheme="minorEastAsia"/>
          <w:bCs/>
          <w:szCs w:val="28"/>
          <w:highlight w:val="none"/>
        </w:rPr>
      </w:pPr>
    </w:p>
    <w:p w14:paraId="63375084">
      <w:pPr>
        <w:spacing w:line="500" w:lineRule="exact"/>
        <w:rPr>
          <w:rFonts w:hint="eastAsia" w:asciiTheme="minorEastAsia" w:hAnsiTheme="minorEastAsia" w:eastAsiaTheme="minorEastAsia"/>
          <w:bCs/>
          <w:szCs w:val="28"/>
          <w:highlight w:val="none"/>
        </w:rPr>
      </w:pPr>
    </w:p>
    <w:p w14:paraId="5C18BAA2">
      <w:pPr>
        <w:spacing w:line="500" w:lineRule="exact"/>
        <w:rPr>
          <w:rFonts w:hint="eastAsia" w:asciiTheme="minorEastAsia" w:hAnsiTheme="minorEastAsia" w:eastAsiaTheme="minorEastAsia"/>
          <w:bCs/>
          <w:szCs w:val="28"/>
          <w:highlight w:val="none"/>
        </w:rPr>
      </w:pPr>
    </w:p>
    <w:p w14:paraId="3BBCBB28">
      <w:pPr>
        <w:spacing w:line="500" w:lineRule="exact"/>
        <w:rPr>
          <w:rFonts w:hint="eastAsia" w:asciiTheme="minorEastAsia" w:hAnsiTheme="minorEastAsia" w:eastAsiaTheme="minorEastAsia"/>
          <w:bCs/>
          <w:szCs w:val="28"/>
          <w:highlight w:val="none"/>
        </w:rPr>
      </w:pPr>
    </w:p>
    <w:p w14:paraId="5264D35C">
      <w:pPr>
        <w:spacing w:line="500" w:lineRule="exact"/>
        <w:rPr>
          <w:rFonts w:hint="eastAsia" w:asciiTheme="minorEastAsia" w:hAnsiTheme="minorEastAsia" w:eastAsiaTheme="minorEastAsia"/>
          <w:bCs/>
          <w:szCs w:val="28"/>
          <w:highlight w:val="none"/>
        </w:rPr>
      </w:pPr>
    </w:p>
    <w:p w14:paraId="010D447F">
      <w:pPr>
        <w:spacing w:line="500" w:lineRule="exact"/>
        <w:rPr>
          <w:rFonts w:hint="eastAsia" w:asciiTheme="minorEastAsia" w:hAnsiTheme="minorEastAsia" w:eastAsiaTheme="minorEastAsia"/>
          <w:bCs/>
          <w:szCs w:val="28"/>
          <w:highlight w:val="none"/>
        </w:rPr>
      </w:pPr>
    </w:p>
    <w:p w14:paraId="750967F8">
      <w:pPr>
        <w:spacing w:line="500" w:lineRule="exact"/>
        <w:rPr>
          <w:rFonts w:hint="eastAsia" w:asciiTheme="minorEastAsia" w:hAnsiTheme="minorEastAsia" w:eastAsiaTheme="minorEastAsia"/>
          <w:bCs/>
          <w:szCs w:val="28"/>
          <w:highlight w:val="none"/>
        </w:rPr>
      </w:pPr>
    </w:p>
    <w:p w14:paraId="04E678E7">
      <w:pPr>
        <w:spacing w:line="500" w:lineRule="exact"/>
        <w:rPr>
          <w:rFonts w:hint="eastAsia" w:asciiTheme="minorEastAsia" w:hAnsiTheme="minorEastAsia" w:eastAsiaTheme="minorEastAsia"/>
          <w:bCs/>
          <w:szCs w:val="28"/>
          <w:highlight w:val="none"/>
        </w:rPr>
      </w:pPr>
    </w:p>
    <w:p w14:paraId="0A48C912">
      <w:pPr>
        <w:rPr>
          <w:rFonts w:hint="eastAsia" w:ascii="仿宋" w:hAnsi="仿宋" w:eastAsia="仿宋" w:cs="仿宋"/>
          <w:b/>
          <w:sz w:val="28"/>
          <w:szCs w:val="28"/>
          <w:highlight w:val="none"/>
        </w:rPr>
      </w:pPr>
    </w:p>
    <w:p w14:paraId="07BFA283">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3BC121B9">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16C497E9">
      <w:pPr>
        <w:rPr>
          <w:rFonts w:hint="eastAsia" w:asciiTheme="minorEastAsia" w:hAnsiTheme="minorEastAsia" w:eastAsiaTheme="minorEastAsia"/>
          <w:b/>
          <w:sz w:val="28"/>
          <w:szCs w:val="28"/>
          <w:highlight w:val="none"/>
        </w:rPr>
      </w:pPr>
    </w:p>
    <w:p w14:paraId="25567C66">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01EF2C20">
      <w:pPr>
        <w:rPr>
          <w:rFonts w:hint="eastAsia" w:ascii="仿宋" w:hAnsi="仿宋" w:eastAsia="仿宋" w:cs="仿宋"/>
          <w:b/>
          <w:sz w:val="28"/>
          <w:szCs w:val="28"/>
          <w:highlight w:val="none"/>
        </w:rPr>
      </w:pPr>
    </w:p>
    <w:p w14:paraId="4F7C7DA6">
      <w:pPr>
        <w:rPr>
          <w:rFonts w:hint="eastAsia" w:ascii="仿宋" w:hAnsi="仿宋" w:eastAsia="仿宋" w:cs="仿宋"/>
          <w:b/>
          <w:sz w:val="28"/>
          <w:szCs w:val="28"/>
          <w:highlight w:val="none"/>
        </w:rPr>
      </w:pPr>
    </w:p>
    <w:p w14:paraId="75ED21B8">
      <w:pPr>
        <w:rPr>
          <w:rFonts w:hint="eastAsia" w:ascii="仿宋" w:hAnsi="仿宋" w:eastAsia="仿宋" w:cs="仿宋"/>
          <w:b/>
          <w:sz w:val="28"/>
          <w:szCs w:val="28"/>
          <w:highlight w:val="none"/>
        </w:rPr>
      </w:pPr>
    </w:p>
    <w:p w14:paraId="25338D93">
      <w:pPr>
        <w:rPr>
          <w:rFonts w:hint="eastAsia" w:ascii="仿宋" w:hAnsi="仿宋" w:eastAsia="仿宋" w:cs="仿宋"/>
          <w:b/>
          <w:sz w:val="28"/>
          <w:szCs w:val="28"/>
          <w:highlight w:val="none"/>
        </w:rPr>
      </w:pPr>
    </w:p>
    <w:p w14:paraId="45CB1273">
      <w:pPr>
        <w:rPr>
          <w:rFonts w:hint="eastAsia" w:ascii="仿宋" w:hAnsi="仿宋" w:eastAsia="仿宋" w:cs="仿宋"/>
          <w:b/>
          <w:sz w:val="28"/>
          <w:szCs w:val="28"/>
          <w:highlight w:val="none"/>
        </w:rPr>
      </w:pPr>
    </w:p>
    <w:p w14:paraId="1A8F9BA6">
      <w:pPr>
        <w:rPr>
          <w:rFonts w:hint="eastAsia" w:ascii="仿宋" w:hAnsi="仿宋" w:eastAsia="仿宋" w:cs="仿宋"/>
          <w:b/>
          <w:sz w:val="28"/>
          <w:szCs w:val="28"/>
          <w:highlight w:val="none"/>
        </w:rPr>
      </w:pPr>
    </w:p>
    <w:p w14:paraId="1252E8ED">
      <w:pPr>
        <w:rPr>
          <w:rFonts w:hint="eastAsia" w:ascii="仿宋" w:hAnsi="仿宋" w:eastAsia="仿宋" w:cs="仿宋"/>
          <w:b/>
          <w:sz w:val="28"/>
          <w:szCs w:val="28"/>
          <w:highlight w:val="none"/>
        </w:rPr>
      </w:pPr>
    </w:p>
    <w:p w14:paraId="11BE99BA">
      <w:pPr>
        <w:rPr>
          <w:rFonts w:hint="eastAsia" w:ascii="仿宋" w:hAnsi="仿宋" w:eastAsia="仿宋" w:cs="仿宋"/>
          <w:b/>
          <w:sz w:val="28"/>
          <w:szCs w:val="28"/>
          <w:highlight w:val="none"/>
        </w:rPr>
      </w:pPr>
    </w:p>
    <w:p w14:paraId="581C2EF0">
      <w:pPr>
        <w:rPr>
          <w:rFonts w:hint="eastAsia" w:ascii="仿宋" w:hAnsi="仿宋" w:eastAsia="仿宋" w:cs="仿宋"/>
          <w:b/>
          <w:sz w:val="28"/>
          <w:szCs w:val="28"/>
          <w:highlight w:val="none"/>
        </w:rPr>
      </w:pPr>
    </w:p>
    <w:p w14:paraId="4C419A22">
      <w:pPr>
        <w:rPr>
          <w:rFonts w:hint="eastAsia" w:ascii="仿宋" w:hAnsi="仿宋" w:eastAsia="仿宋" w:cs="仿宋"/>
          <w:b/>
          <w:sz w:val="28"/>
          <w:szCs w:val="28"/>
          <w:highlight w:val="none"/>
        </w:rPr>
      </w:pPr>
    </w:p>
    <w:p w14:paraId="0BC2E83D">
      <w:pPr>
        <w:rPr>
          <w:rFonts w:hint="eastAsia" w:ascii="仿宋" w:hAnsi="仿宋" w:eastAsia="仿宋" w:cs="仿宋"/>
          <w:b/>
          <w:sz w:val="28"/>
          <w:szCs w:val="28"/>
          <w:highlight w:val="none"/>
        </w:rPr>
      </w:pPr>
    </w:p>
    <w:p w14:paraId="4F54367D">
      <w:pPr>
        <w:rPr>
          <w:rFonts w:hint="eastAsia" w:ascii="仿宋" w:hAnsi="仿宋" w:eastAsia="仿宋" w:cs="仿宋"/>
          <w:b/>
          <w:sz w:val="28"/>
          <w:szCs w:val="28"/>
          <w:highlight w:val="none"/>
        </w:rPr>
      </w:pPr>
    </w:p>
    <w:p w14:paraId="6CBB3A71">
      <w:pPr>
        <w:rPr>
          <w:rFonts w:hint="eastAsia" w:ascii="仿宋" w:hAnsi="仿宋" w:eastAsia="仿宋" w:cs="仿宋"/>
          <w:b/>
          <w:sz w:val="28"/>
          <w:szCs w:val="28"/>
          <w:highlight w:val="none"/>
        </w:rPr>
      </w:pPr>
    </w:p>
    <w:p w14:paraId="65BDE381">
      <w:pPr>
        <w:rPr>
          <w:rFonts w:hint="eastAsia" w:ascii="仿宋" w:hAnsi="仿宋" w:eastAsia="仿宋" w:cs="仿宋"/>
          <w:b/>
          <w:sz w:val="28"/>
          <w:szCs w:val="28"/>
          <w:highlight w:val="none"/>
        </w:rPr>
      </w:pPr>
    </w:p>
    <w:p w14:paraId="40CDBFC7">
      <w:pPr>
        <w:rPr>
          <w:rFonts w:hint="eastAsia" w:ascii="仿宋" w:hAnsi="仿宋" w:eastAsia="仿宋" w:cs="仿宋"/>
          <w:b/>
          <w:sz w:val="28"/>
          <w:szCs w:val="28"/>
          <w:highlight w:val="none"/>
        </w:rPr>
      </w:pPr>
    </w:p>
    <w:p w14:paraId="30430F0F">
      <w:pPr>
        <w:rPr>
          <w:rFonts w:hint="eastAsia" w:ascii="仿宋" w:hAnsi="仿宋" w:eastAsia="仿宋" w:cs="仿宋"/>
          <w:b/>
          <w:sz w:val="28"/>
          <w:szCs w:val="28"/>
          <w:highlight w:val="none"/>
        </w:rPr>
      </w:pPr>
    </w:p>
    <w:p w14:paraId="17A57D28">
      <w:pPr>
        <w:rPr>
          <w:rFonts w:hint="eastAsia" w:ascii="仿宋" w:hAnsi="仿宋" w:eastAsia="仿宋" w:cs="仿宋"/>
          <w:b/>
          <w:sz w:val="28"/>
          <w:szCs w:val="28"/>
          <w:highlight w:val="none"/>
        </w:rPr>
      </w:pPr>
    </w:p>
    <w:p w14:paraId="42BF1EAE">
      <w:pPr>
        <w:rPr>
          <w:rFonts w:hint="eastAsia" w:ascii="仿宋" w:hAnsi="仿宋" w:eastAsia="仿宋" w:cs="仿宋"/>
          <w:b/>
          <w:sz w:val="28"/>
          <w:szCs w:val="28"/>
          <w:highlight w:val="none"/>
        </w:rPr>
      </w:pPr>
    </w:p>
    <w:p w14:paraId="3908C710">
      <w:pPr>
        <w:rPr>
          <w:rFonts w:hint="eastAsia" w:ascii="仿宋" w:hAnsi="仿宋" w:eastAsia="仿宋" w:cs="仿宋"/>
          <w:b/>
          <w:sz w:val="28"/>
          <w:szCs w:val="28"/>
          <w:highlight w:val="none"/>
        </w:rPr>
      </w:pPr>
    </w:p>
    <w:p w14:paraId="20C98017">
      <w:pPr>
        <w:rPr>
          <w:rFonts w:hint="eastAsia" w:ascii="仿宋" w:hAnsi="仿宋" w:eastAsia="仿宋" w:cs="仿宋"/>
          <w:b/>
          <w:sz w:val="28"/>
          <w:szCs w:val="28"/>
          <w:highlight w:val="none"/>
        </w:rPr>
      </w:pPr>
    </w:p>
    <w:p w14:paraId="6D43AC93">
      <w:pPr>
        <w:rPr>
          <w:rFonts w:hint="eastAsia" w:ascii="仿宋" w:hAnsi="仿宋" w:eastAsia="仿宋" w:cs="仿宋"/>
          <w:b/>
          <w:sz w:val="28"/>
          <w:szCs w:val="28"/>
          <w:highlight w:val="none"/>
        </w:rPr>
      </w:pPr>
    </w:p>
    <w:p w14:paraId="58406269">
      <w:pPr>
        <w:rPr>
          <w:rFonts w:hint="eastAsia" w:ascii="仿宋" w:hAnsi="仿宋" w:eastAsia="仿宋" w:cs="仿宋"/>
          <w:b/>
          <w:sz w:val="28"/>
          <w:szCs w:val="28"/>
          <w:highlight w:val="none"/>
        </w:rPr>
      </w:pPr>
    </w:p>
    <w:p w14:paraId="390C3C46">
      <w:pPr>
        <w:rPr>
          <w:rFonts w:hint="eastAsia" w:ascii="仿宋" w:hAnsi="仿宋" w:eastAsia="仿宋" w:cs="仿宋"/>
          <w:b/>
          <w:sz w:val="28"/>
          <w:szCs w:val="28"/>
          <w:highlight w:val="none"/>
        </w:rPr>
      </w:pPr>
    </w:p>
    <w:p w14:paraId="25711303">
      <w:pPr>
        <w:rPr>
          <w:rFonts w:hint="eastAsia" w:ascii="仿宋" w:hAnsi="仿宋" w:eastAsia="仿宋" w:cs="仿宋"/>
          <w:b/>
          <w:sz w:val="28"/>
          <w:szCs w:val="28"/>
          <w:highlight w:val="none"/>
        </w:rPr>
      </w:pPr>
    </w:p>
    <w:p w14:paraId="7DF31BCC">
      <w:pPr>
        <w:rPr>
          <w:rFonts w:hint="eastAsia" w:ascii="仿宋" w:hAnsi="仿宋" w:eastAsia="仿宋" w:cs="仿宋"/>
          <w:b/>
          <w:sz w:val="28"/>
          <w:szCs w:val="28"/>
          <w:highlight w:val="none"/>
        </w:rPr>
      </w:pPr>
    </w:p>
    <w:p w14:paraId="727E6CC6">
      <w:pPr>
        <w:rPr>
          <w:rFonts w:hint="eastAsia" w:ascii="仿宋" w:hAnsi="仿宋" w:eastAsia="仿宋" w:cs="仿宋"/>
          <w:b/>
          <w:sz w:val="28"/>
          <w:szCs w:val="28"/>
          <w:highlight w:val="none"/>
        </w:rPr>
      </w:pPr>
    </w:p>
    <w:p w14:paraId="771FD7F2">
      <w:pPr>
        <w:rPr>
          <w:rFonts w:hint="eastAsia" w:ascii="仿宋" w:hAnsi="仿宋" w:eastAsia="仿宋" w:cs="仿宋"/>
          <w:b/>
          <w:sz w:val="28"/>
          <w:szCs w:val="28"/>
          <w:highlight w:val="none"/>
        </w:rPr>
      </w:pPr>
    </w:p>
    <w:p w14:paraId="1BAC4E09">
      <w:pPr>
        <w:rPr>
          <w:rFonts w:hint="eastAsia" w:ascii="仿宋" w:hAnsi="仿宋" w:eastAsia="仿宋" w:cs="仿宋"/>
          <w:b/>
          <w:sz w:val="28"/>
          <w:szCs w:val="28"/>
          <w:highlight w:val="none"/>
        </w:rPr>
      </w:pPr>
    </w:p>
    <w:p w14:paraId="3C3A7122">
      <w:pPr>
        <w:rPr>
          <w:rFonts w:hint="eastAsia" w:ascii="仿宋" w:hAnsi="仿宋" w:eastAsia="仿宋" w:cs="仿宋"/>
          <w:b/>
          <w:sz w:val="28"/>
          <w:szCs w:val="28"/>
          <w:highlight w:val="none"/>
        </w:rPr>
      </w:pPr>
    </w:p>
    <w:p w14:paraId="2912F23B">
      <w:pPr>
        <w:rPr>
          <w:rFonts w:hint="eastAsia" w:ascii="仿宋" w:hAnsi="仿宋" w:eastAsia="仿宋" w:cs="仿宋"/>
          <w:b/>
          <w:sz w:val="28"/>
          <w:szCs w:val="28"/>
          <w:highlight w:val="none"/>
        </w:rPr>
      </w:pPr>
    </w:p>
    <w:p w14:paraId="56E382D8">
      <w:pPr>
        <w:rPr>
          <w:rFonts w:hint="eastAsia" w:ascii="仿宋" w:hAnsi="仿宋" w:eastAsia="仿宋" w:cs="仿宋"/>
          <w:b/>
          <w:sz w:val="28"/>
          <w:szCs w:val="28"/>
          <w:highlight w:val="none"/>
        </w:rPr>
      </w:pPr>
    </w:p>
    <w:p w14:paraId="711F8842">
      <w:pPr>
        <w:rPr>
          <w:rFonts w:hint="eastAsia" w:ascii="仿宋" w:hAnsi="仿宋" w:eastAsia="仿宋" w:cs="仿宋"/>
          <w:b/>
          <w:sz w:val="28"/>
          <w:szCs w:val="28"/>
          <w:highlight w:val="none"/>
        </w:rPr>
      </w:pPr>
    </w:p>
    <w:p w14:paraId="61BB4C7A">
      <w:pPr>
        <w:rPr>
          <w:rFonts w:hint="eastAsia" w:ascii="仿宋" w:hAnsi="仿宋" w:eastAsia="仿宋" w:cs="仿宋"/>
          <w:b/>
          <w:sz w:val="28"/>
          <w:szCs w:val="28"/>
          <w:highlight w:val="none"/>
        </w:rPr>
      </w:pPr>
    </w:p>
    <w:p w14:paraId="6971D1F0">
      <w:pPr>
        <w:rPr>
          <w:rFonts w:hint="eastAsia" w:ascii="仿宋" w:hAnsi="仿宋" w:eastAsia="仿宋" w:cs="仿宋"/>
          <w:b/>
          <w:sz w:val="28"/>
          <w:szCs w:val="28"/>
          <w:highlight w:val="none"/>
        </w:rPr>
      </w:pPr>
    </w:p>
    <w:p w14:paraId="4E8FDA6C">
      <w:pPr>
        <w:pStyle w:val="41"/>
        <w:ind w:firstLine="281"/>
        <w:rPr>
          <w:rFonts w:hint="eastAsia" w:ascii="仿宋" w:hAnsi="仿宋" w:eastAsia="仿宋" w:cs="仿宋"/>
          <w:b/>
          <w:sz w:val="28"/>
          <w:szCs w:val="28"/>
          <w:highlight w:val="none"/>
        </w:rPr>
      </w:pPr>
    </w:p>
    <w:p w14:paraId="5073AFEE">
      <w:pPr>
        <w:pStyle w:val="41"/>
        <w:ind w:firstLine="240"/>
        <w:rPr>
          <w:highlight w:val="none"/>
        </w:rPr>
      </w:pPr>
    </w:p>
    <w:p w14:paraId="657BBCB6">
      <w:pPr>
        <w:numPr>
          <w:ilvl w:val="0"/>
          <w:numId w:val="11"/>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2571362A">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79DCCEF">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1D3AD7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30B2ED6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5B493D5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highlight w:val="none"/>
              </w:rPr>
            </w:pPr>
          </w:p>
        </w:tc>
        <w:tc>
          <w:tcPr>
            <w:tcW w:w="1239" w:type="dxa"/>
            <w:vAlign w:val="center"/>
          </w:tcPr>
          <w:p w14:paraId="7DA4091C">
            <w:pPr>
              <w:spacing w:line="500" w:lineRule="exact"/>
              <w:jc w:val="center"/>
              <w:rPr>
                <w:rFonts w:hint="eastAsia" w:ascii="宋体" w:hAnsi="宋体" w:cs="宋体"/>
                <w:sz w:val="21"/>
                <w:szCs w:val="21"/>
                <w:highlight w:val="none"/>
              </w:rPr>
            </w:pPr>
          </w:p>
        </w:tc>
        <w:tc>
          <w:tcPr>
            <w:tcW w:w="1260" w:type="dxa"/>
            <w:vAlign w:val="center"/>
          </w:tcPr>
          <w:p w14:paraId="18FE6133">
            <w:pPr>
              <w:spacing w:line="500" w:lineRule="exact"/>
              <w:jc w:val="center"/>
              <w:rPr>
                <w:rFonts w:hint="eastAsia" w:ascii="宋体" w:hAnsi="宋体" w:cs="宋体"/>
                <w:sz w:val="21"/>
                <w:szCs w:val="21"/>
                <w:highlight w:val="none"/>
              </w:rPr>
            </w:pPr>
          </w:p>
        </w:tc>
        <w:tc>
          <w:tcPr>
            <w:tcW w:w="1620" w:type="dxa"/>
            <w:vAlign w:val="center"/>
          </w:tcPr>
          <w:p w14:paraId="71E395E6">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highlight w:val="none"/>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highlight w:val="none"/>
              </w:rPr>
            </w:pPr>
          </w:p>
        </w:tc>
        <w:tc>
          <w:tcPr>
            <w:tcW w:w="1239" w:type="dxa"/>
            <w:vAlign w:val="center"/>
          </w:tcPr>
          <w:p w14:paraId="618B6636">
            <w:pPr>
              <w:spacing w:line="500" w:lineRule="exact"/>
              <w:jc w:val="center"/>
              <w:rPr>
                <w:rFonts w:hint="eastAsia" w:ascii="宋体" w:hAnsi="宋体" w:cs="宋体"/>
                <w:sz w:val="21"/>
                <w:szCs w:val="21"/>
                <w:highlight w:val="none"/>
              </w:rPr>
            </w:pPr>
          </w:p>
        </w:tc>
        <w:tc>
          <w:tcPr>
            <w:tcW w:w="1260" w:type="dxa"/>
            <w:vAlign w:val="center"/>
          </w:tcPr>
          <w:p w14:paraId="3BDD15EF">
            <w:pPr>
              <w:spacing w:line="500" w:lineRule="exact"/>
              <w:jc w:val="center"/>
              <w:rPr>
                <w:rFonts w:hint="eastAsia" w:ascii="宋体" w:hAnsi="宋体" w:cs="宋体"/>
                <w:sz w:val="21"/>
                <w:szCs w:val="21"/>
                <w:highlight w:val="none"/>
              </w:rPr>
            </w:pPr>
          </w:p>
        </w:tc>
        <w:tc>
          <w:tcPr>
            <w:tcW w:w="1620" w:type="dxa"/>
            <w:vAlign w:val="center"/>
          </w:tcPr>
          <w:p w14:paraId="2B9F566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highlight w:val="none"/>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highlight w:val="none"/>
              </w:rPr>
            </w:pPr>
          </w:p>
        </w:tc>
        <w:tc>
          <w:tcPr>
            <w:tcW w:w="1239" w:type="dxa"/>
            <w:vAlign w:val="center"/>
          </w:tcPr>
          <w:p w14:paraId="44113902">
            <w:pPr>
              <w:spacing w:line="500" w:lineRule="exact"/>
              <w:jc w:val="center"/>
              <w:rPr>
                <w:rFonts w:hint="eastAsia" w:ascii="宋体" w:hAnsi="宋体" w:cs="宋体"/>
                <w:sz w:val="21"/>
                <w:szCs w:val="21"/>
                <w:highlight w:val="none"/>
              </w:rPr>
            </w:pPr>
          </w:p>
        </w:tc>
        <w:tc>
          <w:tcPr>
            <w:tcW w:w="1260" w:type="dxa"/>
            <w:vAlign w:val="center"/>
          </w:tcPr>
          <w:p w14:paraId="63C4E1EF">
            <w:pPr>
              <w:spacing w:line="500" w:lineRule="exact"/>
              <w:jc w:val="center"/>
              <w:rPr>
                <w:rFonts w:hint="eastAsia" w:ascii="宋体" w:hAnsi="宋体" w:cs="宋体"/>
                <w:sz w:val="21"/>
                <w:szCs w:val="21"/>
                <w:highlight w:val="none"/>
              </w:rPr>
            </w:pPr>
          </w:p>
        </w:tc>
        <w:tc>
          <w:tcPr>
            <w:tcW w:w="1620" w:type="dxa"/>
            <w:vAlign w:val="center"/>
          </w:tcPr>
          <w:p w14:paraId="131C705C">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highlight w:val="none"/>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highlight w:val="none"/>
              </w:rPr>
            </w:pPr>
          </w:p>
        </w:tc>
        <w:tc>
          <w:tcPr>
            <w:tcW w:w="1620" w:type="dxa"/>
            <w:vAlign w:val="center"/>
          </w:tcPr>
          <w:p w14:paraId="415C7F6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highlight w:val="none"/>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highlight w:val="none"/>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highlight w:val="none"/>
              </w:rPr>
            </w:pPr>
          </w:p>
        </w:tc>
        <w:tc>
          <w:tcPr>
            <w:tcW w:w="1239" w:type="dxa"/>
            <w:vAlign w:val="center"/>
          </w:tcPr>
          <w:p w14:paraId="074127C9">
            <w:pPr>
              <w:spacing w:line="500" w:lineRule="exact"/>
              <w:jc w:val="center"/>
              <w:rPr>
                <w:rFonts w:hint="eastAsia" w:ascii="宋体" w:hAnsi="宋体" w:cs="宋体"/>
                <w:sz w:val="21"/>
                <w:szCs w:val="21"/>
                <w:highlight w:val="none"/>
              </w:rPr>
            </w:pPr>
          </w:p>
        </w:tc>
        <w:tc>
          <w:tcPr>
            <w:tcW w:w="1260" w:type="dxa"/>
            <w:vAlign w:val="center"/>
          </w:tcPr>
          <w:p w14:paraId="699FF613">
            <w:pPr>
              <w:spacing w:line="500" w:lineRule="exact"/>
              <w:jc w:val="center"/>
              <w:rPr>
                <w:rFonts w:hint="eastAsia" w:ascii="宋体" w:hAnsi="宋体" w:cs="宋体"/>
                <w:sz w:val="21"/>
                <w:szCs w:val="21"/>
                <w:highlight w:val="none"/>
              </w:rPr>
            </w:pPr>
          </w:p>
        </w:tc>
        <w:tc>
          <w:tcPr>
            <w:tcW w:w="1620" w:type="dxa"/>
            <w:vAlign w:val="center"/>
          </w:tcPr>
          <w:p w14:paraId="38B02F9D">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highlight w:val="none"/>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highlight w:val="none"/>
              </w:rPr>
            </w:pPr>
          </w:p>
        </w:tc>
        <w:tc>
          <w:tcPr>
            <w:tcW w:w="1239" w:type="dxa"/>
            <w:vAlign w:val="center"/>
          </w:tcPr>
          <w:p w14:paraId="485EB5DB">
            <w:pPr>
              <w:spacing w:line="500" w:lineRule="exact"/>
              <w:jc w:val="center"/>
              <w:rPr>
                <w:rFonts w:hint="eastAsia" w:ascii="宋体" w:hAnsi="宋体" w:cs="宋体"/>
                <w:sz w:val="21"/>
                <w:szCs w:val="21"/>
                <w:highlight w:val="none"/>
              </w:rPr>
            </w:pPr>
          </w:p>
        </w:tc>
        <w:tc>
          <w:tcPr>
            <w:tcW w:w="1260" w:type="dxa"/>
            <w:vAlign w:val="center"/>
          </w:tcPr>
          <w:p w14:paraId="74736F94">
            <w:pPr>
              <w:spacing w:line="500" w:lineRule="exact"/>
              <w:jc w:val="center"/>
              <w:rPr>
                <w:rFonts w:hint="eastAsia" w:ascii="宋体" w:hAnsi="宋体" w:cs="宋体"/>
                <w:sz w:val="21"/>
                <w:szCs w:val="21"/>
                <w:highlight w:val="none"/>
              </w:rPr>
            </w:pPr>
          </w:p>
        </w:tc>
        <w:tc>
          <w:tcPr>
            <w:tcW w:w="1620" w:type="dxa"/>
            <w:vAlign w:val="center"/>
          </w:tcPr>
          <w:p w14:paraId="0B8C813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highlight w:val="none"/>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highlight w:val="none"/>
              </w:rPr>
            </w:pPr>
          </w:p>
        </w:tc>
        <w:tc>
          <w:tcPr>
            <w:tcW w:w="1239" w:type="dxa"/>
            <w:vAlign w:val="center"/>
          </w:tcPr>
          <w:p w14:paraId="442CD1ED">
            <w:pPr>
              <w:spacing w:line="500" w:lineRule="exact"/>
              <w:jc w:val="center"/>
              <w:rPr>
                <w:rFonts w:hint="eastAsia" w:ascii="宋体" w:hAnsi="宋体" w:cs="宋体"/>
                <w:sz w:val="21"/>
                <w:szCs w:val="21"/>
                <w:highlight w:val="none"/>
              </w:rPr>
            </w:pPr>
          </w:p>
        </w:tc>
        <w:tc>
          <w:tcPr>
            <w:tcW w:w="1260" w:type="dxa"/>
            <w:vAlign w:val="center"/>
          </w:tcPr>
          <w:p w14:paraId="067E50A3">
            <w:pPr>
              <w:spacing w:line="500" w:lineRule="exact"/>
              <w:jc w:val="center"/>
              <w:rPr>
                <w:rFonts w:hint="eastAsia" w:ascii="宋体" w:hAnsi="宋体" w:cs="宋体"/>
                <w:sz w:val="21"/>
                <w:szCs w:val="21"/>
                <w:highlight w:val="none"/>
              </w:rPr>
            </w:pPr>
          </w:p>
        </w:tc>
        <w:tc>
          <w:tcPr>
            <w:tcW w:w="1620" w:type="dxa"/>
            <w:vAlign w:val="center"/>
          </w:tcPr>
          <w:p w14:paraId="36E82108">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highlight w:val="none"/>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highlight w:val="none"/>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highlight w:val="none"/>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highlight w:val="none"/>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highlight w:val="none"/>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highlight w:val="none"/>
              </w:rPr>
            </w:pPr>
          </w:p>
        </w:tc>
      </w:tr>
    </w:tbl>
    <w:p w14:paraId="13BCC1F4">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4B695DAB">
      <w:pPr>
        <w:spacing w:line="400" w:lineRule="exact"/>
        <w:ind w:firstLine="210" w:firstLineChars="75"/>
        <w:rPr>
          <w:rFonts w:hint="eastAsia" w:ascii="仿宋" w:hAnsi="仿宋" w:eastAsia="仿宋" w:cs="仿宋"/>
          <w:sz w:val="28"/>
          <w:szCs w:val="28"/>
          <w:highlight w:val="none"/>
        </w:rPr>
      </w:pPr>
    </w:p>
    <w:p w14:paraId="243B5385">
      <w:pPr>
        <w:spacing w:line="400" w:lineRule="exact"/>
        <w:ind w:firstLine="210" w:firstLineChars="75"/>
        <w:rPr>
          <w:rFonts w:hint="eastAsia" w:ascii="仿宋" w:hAnsi="仿宋" w:eastAsia="仿宋" w:cs="仿宋"/>
          <w:sz w:val="28"/>
          <w:szCs w:val="28"/>
          <w:highlight w:val="none"/>
        </w:rPr>
      </w:pPr>
    </w:p>
    <w:p w14:paraId="12FFEC76">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F1F27DB">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2B1CCBA2">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2F40E028">
      <w:pPr>
        <w:rPr>
          <w:rFonts w:hint="eastAsia" w:asciiTheme="minorEastAsia" w:hAnsiTheme="minorEastAsia" w:eastAsiaTheme="minorEastAsia"/>
          <w:sz w:val="18"/>
          <w:szCs w:val="18"/>
          <w:highlight w:val="none"/>
        </w:rPr>
      </w:pPr>
    </w:p>
    <w:p w14:paraId="66E43CF0">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w:t>
      </w:r>
      <w:r>
        <w:rPr>
          <w:rFonts w:hint="eastAsia" w:ascii="仿宋" w:hAnsi="仿宋" w:eastAsia="仿宋" w:cs="仿宋"/>
          <w:b/>
          <w:sz w:val="28"/>
          <w:szCs w:val="28"/>
          <w:highlight w:val="none"/>
          <w:lang w:eastAsia="zh-CN"/>
        </w:rPr>
        <w:t>年度</w:t>
      </w:r>
      <w:r>
        <w:rPr>
          <w:rFonts w:hint="eastAsia" w:ascii="仿宋" w:hAnsi="仿宋" w:eastAsia="仿宋" w:cs="仿宋"/>
          <w:b/>
          <w:sz w:val="28"/>
          <w:szCs w:val="28"/>
          <w:highlight w:val="none"/>
        </w:rPr>
        <w:t>财务报表</w:t>
      </w:r>
      <w:r>
        <w:rPr>
          <w:rFonts w:ascii="Times New Roman" w:hAnsi="Times New Roman" w:eastAsia="方正仿宋_GBK" w:cs="Times New Roman"/>
          <w:sz w:val="32"/>
          <w:szCs w:val="32"/>
          <w:highlight w:val="none"/>
        </w:rPr>
        <w:t>（包括资产负债表、利润表和现金流量表）</w:t>
      </w:r>
    </w:p>
    <w:p w14:paraId="5D02BE4B">
      <w:pPr>
        <w:widowControl/>
        <w:rPr>
          <w:rFonts w:hint="eastAsia" w:ascii="仿宋" w:hAnsi="仿宋" w:eastAsia="仿宋" w:cs="仿宋"/>
          <w:b/>
          <w:bCs/>
          <w:kern w:val="0"/>
          <w:sz w:val="28"/>
          <w:szCs w:val="28"/>
          <w:highlight w:val="none"/>
        </w:rPr>
      </w:pPr>
    </w:p>
    <w:p w14:paraId="1DE640AD">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595A4C7E">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2E2CEFAC">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九、近三年的年度纳税及员工社保缴纳证明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97A54B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ACFF6A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02812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AF5F76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3EDB60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FCA297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3DB6D9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8E3FC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E772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B2A35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A86BE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7AB7CB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412230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CB74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4A7196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2A471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34077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29F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D184F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89A0A6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8BC85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8E0D4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6C0DB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58A004">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28F7DE0">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5828A9D3">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2B07DEC4">
      <w:pPr>
        <w:spacing w:line="520" w:lineRule="exact"/>
        <w:rPr>
          <w:rFonts w:hint="eastAsia" w:ascii="仿宋" w:hAnsi="仿宋" w:eastAsia="仿宋" w:cs="仿宋"/>
          <w:sz w:val="28"/>
          <w:szCs w:val="28"/>
          <w:highlight w:val="none"/>
        </w:rPr>
      </w:pPr>
    </w:p>
    <w:p w14:paraId="67F9DA3F">
      <w:pPr>
        <w:spacing w:line="52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533BE8CC">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3．投标人具有依法缴纳税收和社会保障资金的良好纪录，并提供近三年的纳税及员工社保缴纳证明；</w:t>
      </w:r>
    </w:p>
    <w:p w14:paraId="0DB6A906">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4．投标人具有履行合同所必需的专业技术能力；投标方需提供2023年1月1日以来由投标人签署的相关项目合同复印件（单个合同金额至少40万元）及类似项目履约能力证明材料；</w:t>
      </w:r>
    </w:p>
    <w:p w14:paraId="2827DE1D">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5.本次招标要求投标人具备的资质条件：具备建设行政主管部门颁发的有效的建筑工程施工总承包三级及以上资质或建筑装修装饰工程专业承包二级及以上资质；</w:t>
      </w:r>
    </w:p>
    <w:p w14:paraId="36E1670B">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7．投标人具有完善的质量保证和售后服务体系； </w:t>
      </w:r>
    </w:p>
    <w:p w14:paraId="09687D28">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8.本项目不接受联合体投标。</w:t>
      </w:r>
    </w:p>
    <w:p w14:paraId="28C66E42">
      <w:pPr>
        <w:spacing w:line="520" w:lineRule="exact"/>
        <w:rPr>
          <w:rFonts w:hint="eastAsia" w:ascii="仿宋" w:hAnsi="仿宋" w:eastAsia="仿宋" w:cs="仿宋"/>
          <w:sz w:val="28"/>
          <w:szCs w:val="28"/>
          <w:highlight w:val="none"/>
        </w:rPr>
      </w:pPr>
    </w:p>
    <w:p w14:paraId="5F80B204">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673A2DB3">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p>
    <w:p w14:paraId="767BA608">
      <w:pPr>
        <w:snapToGrid w:val="0"/>
        <w:spacing w:line="500" w:lineRule="exac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highlight w:val="none"/>
        </w:rPr>
        <w:br w:type="page"/>
      </w:r>
    </w:p>
    <w:p w14:paraId="4B07A3D0">
      <w:pPr>
        <w:numPr>
          <w:ilvl w:val="0"/>
          <w:numId w:val="12"/>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7FCF9B4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8454B7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E4428B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BA8284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D65EA3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EF5E15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D8A934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9D5B70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822980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F62DE9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332092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7902D4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646D5F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DE1F96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5EEA1C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DAA3EA1">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6CE761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1F5FB3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F375FA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D24136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0C5D128">
      <w:pPr>
        <w:numPr>
          <w:ilvl w:val="0"/>
          <w:numId w:val="0"/>
        </w:numPr>
        <w:adjustRightInd w:val="0"/>
        <w:spacing w:line="480" w:lineRule="auto"/>
        <w:ind w:left="240" w:leftChars="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66A03FE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FE70D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D8D5E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A82C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1462E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6D2E0A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374B4B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68F20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5BF4F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6688B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4C644D">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620D8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A9B4FA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16FE0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6EBEB8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8E4911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95D6F4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08294E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2548E9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68251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2E0F12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527800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FF1FC1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5DAD23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776E80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269AF93">
      <w:pPr>
        <w:tabs>
          <w:tab w:val="left" w:pos="6300"/>
        </w:tabs>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bookmarkStart w:id="380" w:name="_Toc20736"/>
      <w:r>
        <w:rPr>
          <w:rFonts w:hint="eastAsia" w:cs="方正仿宋_GBK" w:asciiTheme="minorEastAsia" w:hAnsiTheme="minorEastAsia" w:eastAsiaTheme="minorEastAsia"/>
          <w:color w:val="auto"/>
          <w:sz w:val="24"/>
          <w:highlight w:val="none"/>
        </w:rPr>
        <w:t>（结束）</w:t>
      </w:r>
      <w:bookmarkEnd w:id="380"/>
    </w:p>
    <w:p w14:paraId="33F0105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3340494">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安心" w:date="2026-07-02T10:44:45Z" w:initials="">
    <w:p w14:paraId="145BFF78">
      <w:pPr>
        <w:pStyle w:val="17"/>
        <w:rPr>
          <w:rFonts w:hint="default" w:eastAsia="宋体"/>
          <w:lang w:val="en-US" w:eastAsia="zh-CN"/>
        </w:rPr>
      </w:pPr>
      <w:r>
        <w:rPr>
          <w:rFonts w:hint="eastAsia"/>
          <w:lang w:val="en-US" w:eastAsia="zh-CN"/>
        </w:rPr>
        <w:t>根据具体项目调整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5BFF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E6826807"/>
    <w:multiLevelType w:val="singleLevel"/>
    <w:tmpl w:val="E6826807"/>
    <w:lvl w:ilvl="0" w:tentative="0">
      <w:start w:val="12"/>
      <w:numFmt w:val="chineseCounting"/>
      <w:suff w:val="nothing"/>
      <w:lvlText w:val="%1、"/>
      <w:lvlJc w:val="left"/>
      <w:rPr>
        <w:rFonts w:hint="eastAsia"/>
      </w:r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6DB1815"/>
    <w:multiLevelType w:val="singleLevel"/>
    <w:tmpl w:val="76DB1815"/>
    <w:lvl w:ilvl="0" w:tentative="0">
      <w:start w:val="6"/>
      <w:numFmt w:val="chineseCounting"/>
      <w:suff w:val="nothing"/>
      <w:lvlText w:val="%1、"/>
      <w:lvlJc w:val="left"/>
      <w:rPr>
        <w:rFonts w:hint="eastAsia"/>
      </w:rPr>
    </w:lvl>
  </w:abstractNum>
  <w:abstractNum w:abstractNumId="11">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7"/>
  </w:num>
  <w:num w:numId="5">
    <w:abstractNumId w:val="9"/>
  </w:num>
  <w:num w:numId="6">
    <w:abstractNumId w:val="6"/>
  </w:num>
  <w:num w:numId="7">
    <w:abstractNumId w:val="8"/>
  </w:num>
  <w:num w:numId="8">
    <w:abstractNumId w:val="5"/>
  </w:num>
  <w:num w:numId="9">
    <w:abstractNumId w:val="11"/>
  </w:num>
  <w:num w:numId="10">
    <w:abstractNumId w:val="0"/>
  </w:num>
  <w:num w:numId="11">
    <w:abstractNumId w:val="1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心">
    <w15:presenceInfo w15:providerId="WPS Office" w15:userId="752841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384F"/>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3B2D46"/>
    <w:rsid w:val="03541CED"/>
    <w:rsid w:val="0367592F"/>
    <w:rsid w:val="037C1244"/>
    <w:rsid w:val="037D6E4A"/>
    <w:rsid w:val="03ED3BD7"/>
    <w:rsid w:val="03FD5238"/>
    <w:rsid w:val="04034DCE"/>
    <w:rsid w:val="040D6D19"/>
    <w:rsid w:val="045A67DF"/>
    <w:rsid w:val="045D2E23"/>
    <w:rsid w:val="04612981"/>
    <w:rsid w:val="04617C78"/>
    <w:rsid w:val="0492290C"/>
    <w:rsid w:val="04973A9F"/>
    <w:rsid w:val="04EA03AB"/>
    <w:rsid w:val="04F548E2"/>
    <w:rsid w:val="053E6976"/>
    <w:rsid w:val="05C0567F"/>
    <w:rsid w:val="068528E5"/>
    <w:rsid w:val="06862B05"/>
    <w:rsid w:val="06BB7499"/>
    <w:rsid w:val="06EA7EDF"/>
    <w:rsid w:val="072A4BA6"/>
    <w:rsid w:val="075D3E5A"/>
    <w:rsid w:val="078C5B91"/>
    <w:rsid w:val="07CC0BA8"/>
    <w:rsid w:val="07FE6B2C"/>
    <w:rsid w:val="07FF48C8"/>
    <w:rsid w:val="081D7E86"/>
    <w:rsid w:val="08610CD7"/>
    <w:rsid w:val="087D5842"/>
    <w:rsid w:val="088C034D"/>
    <w:rsid w:val="08905BA0"/>
    <w:rsid w:val="08AA0E57"/>
    <w:rsid w:val="08AC078D"/>
    <w:rsid w:val="08B421A7"/>
    <w:rsid w:val="09004AA0"/>
    <w:rsid w:val="09141EC9"/>
    <w:rsid w:val="091B157F"/>
    <w:rsid w:val="091F2D9D"/>
    <w:rsid w:val="092B7785"/>
    <w:rsid w:val="0948190B"/>
    <w:rsid w:val="0993037E"/>
    <w:rsid w:val="09D93647"/>
    <w:rsid w:val="0A872E9B"/>
    <w:rsid w:val="0A8C706F"/>
    <w:rsid w:val="0AA870F7"/>
    <w:rsid w:val="0AB319EF"/>
    <w:rsid w:val="0ABB32B3"/>
    <w:rsid w:val="0AF6127C"/>
    <w:rsid w:val="0B261DB7"/>
    <w:rsid w:val="0B7962BE"/>
    <w:rsid w:val="0C105DFF"/>
    <w:rsid w:val="0C684A5B"/>
    <w:rsid w:val="0C837F8F"/>
    <w:rsid w:val="0CB046CD"/>
    <w:rsid w:val="0CB5287D"/>
    <w:rsid w:val="0CBD4ADC"/>
    <w:rsid w:val="0CCA3020"/>
    <w:rsid w:val="0CFC317C"/>
    <w:rsid w:val="0D0447AC"/>
    <w:rsid w:val="0E4B0A3C"/>
    <w:rsid w:val="0E6275D1"/>
    <w:rsid w:val="0EB46E08"/>
    <w:rsid w:val="0EC64E38"/>
    <w:rsid w:val="0EEC1973"/>
    <w:rsid w:val="0EFF2FF5"/>
    <w:rsid w:val="0F264FE7"/>
    <w:rsid w:val="0F3946C8"/>
    <w:rsid w:val="0F621390"/>
    <w:rsid w:val="0FAC7325"/>
    <w:rsid w:val="0FE35EA0"/>
    <w:rsid w:val="0FEB079C"/>
    <w:rsid w:val="0FFA2218"/>
    <w:rsid w:val="10EF4D6C"/>
    <w:rsid w:val="11367AC0"/>
    <w:rsid w:val="11660D9C"/>
    <w:rsid w:val="118D1664"/>
    <w:rsid w:val="119B58FC"/>
    <w:rsid w:val="11A101D6"/>
    <w:rsid w:val="11B06C17"/>
    <w:rsid w:val="11B83C77"/>
    <w:rsid w:val="120D6082"/>
    <w:rsid w:val="122711D7"/>
    <w:rsid w:val="1230330D"/>
    <w:rsid w:val="12B50068"/>
    <w:rsid w:val="12CA37D0"/>
    <w:rsid w:val="12F23895"/>
    <w:rsid w:val="134F4AAB"/>
    <w:rsid w:val="139D752A"/>
    <w:rsid w:val="13F526AA"/>
    <w:rsid w:val="142152D6"/>
    <w:rsid w:val="145737AD"/>
    <w:rsid w:val="14CB5D17"/>
    <w:rsid w:val="14DF5063"/>
    <w:rsid w:val="14F93F9F"/>
    <w:rsid w:val="152A3A00"/>
    <w:rsid w:val="15373CF1"/>
    <w:rsid w:val="15880C4C"/>
    <w:rsid w:val="15AC7766"/>
    <w:rsid w:val="15AE4939"/>
    <w:rsid w:val="15CC719F"/>
    <w:rsid w:val="16905228"/>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826FA5"/>
    <w:rsid w:val="19877AF0"/>
    <w:rsid w:val="19D40DC3"/>
    <w:rsid w:val="19E71F68"/>
    <w:rsid w:val="1A287223"/>
    <w:rsid w:val="1A9A1477"/>
    <w:rsid w:val="1B393673"/>
    <w:rsid w:val="1C3243D6"/>
    <w:rsid w:val="1C5F6EAA"/>
    <w:rsid w:val="1C6F4FB4"/>
    <w:rsid w:val="1C733AAB"/>
    <w:rsid w:val="1CC45CDD"/>
    <w:rsid w:val="1CCB791D"/>
    <w:rsid w:val="1CD22F7D"/>
    <w:rsid w:val="1CE05AC6"/>
    <w:rsid w:val="1D1735EF"/>
    <w:rsid w:val="1D6F55A4"/>
    <w:rsid w:val="1DE06ED2"/>
    <w:rsid w:val="1DEE0CA9"/>
    <w:rsid w:val="1DF20628"/>
    <w:rsid w:val="1E2D620F"/>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26E6690"/>
    <w:rsid w:val="231C55FA"/>
    <w:rsid w:val="23CF4666"/>
    <w:rsid w:val="23ED2225"/>
    <w:rsid w:val="245231DD"/>
    <w:rsid w:val="246B066E"/>
    <w:rsid w:val="24A314E5"/>
    <w:rsid w:val="24C70EF2"/>
    <w:rsid w:val="25315A92"/>
    <w:rsid w:val="25485B4A"/>
    <w:rsid w:val="257411BF"/>
    <w:rsid w:val="25864D84"/>
    <w:rsid w:val="258F27CB"/>
    <w:rsid w:val="25D668B0"/>
    <w:rsid w:val="260F1BFD"/>
    <w:rsid w:val="26421E20"/>
    <w:rsid w:val="264D746E"/>
    <w:rsid w:val="26875236"/>
    <w:rsid w:val="268B18B9"/>
    <w:rsid w:val="26942845"/>
    <w:rsid w:val="26A5092E"/>
    <w:rsid w:val="26AB55C9"/>
    <w:rsid w:val="26AB5818"/>
    <w:rsid w:val="26D24169"/>
    <w:rsid w:val="272A1CDF"/>
    <w:rsid w:val="2782748C"/>
    <w:rsid w:val="27977369"/>
    <w:rsid w:val="27AB2C9A"/>
    <w:rsid w:val="28591452"/>
    <w:rsid w:val="28603F2A"/>
    <w:rsid w:val="287B7E23"/>
    <w:rsid w:val="28812A39"/>
    <w:rsid w:val="28943942"/>
    <w:rsid w:val="291C5BFE"/>
    <w:rsid w:val="29382A6B"/>
    <w:rsid w:val="2955110C"/>
    <w:rsid w:val="295A23FC"/>
    <w:rsid w:val="29626662"/>
    <w:rsid w:val="297E6BDB"/>
    <w:rsid w:val="29816E87"/>
    <w:rsid w:val="2A0E1B30"/>
    <w:rsid w:val="2A3113C8"/>
    <w:rsid w:val="2A446C83"/>
    <w:rsid w:val="2A8617FE"/>
    <w:rsid w:val="2AB9225B"/>
    <w:rsid w:val="2B4464C7"/>
    <w:rsid w:val="2B5249DF"/>
    <w:rsid w:val="2B590203"/>
    <w:rsid w:val="2B6B0F7F"/>
    <w:rsid w:val="2B794137"/>
    <w:rsid w:val="2B8461D2"/>
    <w:rsid w:val="2B9B099A"/>
    <w:rsid w:val="2BD851A9"/>
    <w:rsid w:val="2BF965AB"/>
    <w:rsid w:val="2C0F4644"/>
    <w:rsid w:val="2C130D6C"/>
    <w:rsid w:val="2C225C6C"/>
    <w:rsid w:val="2C7831FE"/>
    <w:rsid w:val="2C8F0EA7"/>
    <w:rsid w:val="2CAD66F4"/>
    <w:rsid w:val="2D1019B2"/>
    <w:rsid w:val="2D5609E8"/>
    <w:rsid w:val="2E0E10F4"/>
    <w:rsid w:val="2E1555FA"/>
    <w:rsid w:val="2E335172"/>
    <w:rsid w:val="2EF771DC"/>
    <w:rsid w:val="2F377CAB"/>
    <w:rsid w:val="2F3C2E7D"/>
    <w:rsid w:val="2F7215C9"/>
    <w:rsid w:val="2F753598"/>
    <w:rsid w:val="2FB9486F"/>
    <w:rsid w:val="2FCC5E07"/>
    <w:rsid w:val="2FF545D5"/>
    <w:rsid w:val="30247B0A"/>
    <w:rsid w:val="30A11FD0"/>
    <w:rsid w:val="3146027D"/>
    <w:rsid w:val="31492649"/>
    <w:rsid w:val="317D7A4B"/>
    <w:rsid w:val="319966F0"/>
    <w:rsid w:val="31B931EF"/>
    <w:rsid w:val="3244724D"/>
    <w:rsid w:val="32863A70"/>
    <w:rsid w:val="328E2276"/>
    <w:rsid w:val="333F5C66"/>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0954F8"/>
    <w:rsid w:val="373C7A9C"/>
    <w:rsid w:val="37416EB1"/>
    <w:rsid w:val="37512FB8"/>
    <w:rsid w:val="376914BD"/>
    <w:rsid w:val="377D7D51"/>
    <w:rsid w:val="37CD35DE"/>
    <w:rsid w:val="38232AA8"/>
    <w:rsid w:val="3860608E"/>
    <w:rsid w:val="389D3187"/>
    <w:rsid w:val="38B91C49"/>
    <w:rsid w:val="39150919"/>
    <w:rsid w:val="397D27F8"/>
    <w:rsid w:val="3984451E"/>
    <w:rsid w:val="39E958BC"/>
    <w:rsid w:val="39F84A46"/>
    <w:rsid w:val="3A366C90"/>
    <w:rsid w:val="3A50783A"/>
    <w:rsid w:val="3A5A25AB"/>
    <w:rsid w:val="3AD2717E"/>
    <w:rsid w:val="3AE8792A"/>
    <w:rsid w:val="3B4C6B7D"/>
    <w:rsid w:val="3B861D7B"/>
    <w:rsid w:val="3C580635"/>
    <w:rsid w:val="3C896EB4"/>
    <w:rsid w:val="3CC50F8A"/>
    <w:rsid w:val="3CF26E83"/>
    <w:rsid w:val="3D7E3DFD"/>
    <w:rsid w:val="3DDC1B4E"/>
    <w:rsid w:val="3DE624D4"/>
    <w:rsid w:val="3E187551"/>
    <w:rsid w:val="3E684EAD"/>
    <w:rsid w:val="3E6E56EE"/>
    <w:rsid w:val="3E831250"/>
    <w:rsid w:val="3EAF2D25"/>
    <w:rsid w:val="3EBD538E"/>
    <w:rsid w:val="3F221C11"/>
    <w:rsid w:val="3F3F3186"/>
    <w:rsid w:val="3FAD7E35"/>
    <w:rsid w:val="3FC47810"/>
    <w:rsid w:val="3FF57DD8"/>
    <w:rsid w:val="400A4965"/>
    <w:rsid w:val="40291362"/>
    <w:rsid w:val="405A2EAA"/>
    <w:rsid w:val="40B35F3C"/>
    <w:rsid w:val="41492569"/>
    <w:rsid w:val="41B06152"/>
    <w:rsid w:val="41CF1774"/>
    <w:rsid w:val="41E166A7"/>
    <w:rsid w:val="41EC2B0D"/>
    <w:rsid w:val="421F0E45"/>
    <w:rsid w:val="42714CA9"/>
    <w:rsid w:val="42833F2C"/>
    <w:rsid w:val="42A34959"/>
    <w:rsid w:val="42AB29D0"/>
    <w:rsid w:val="42D515E8"/>
    <w:rsid w:val="432568B4"/>
    <w:rsid w:val="436617E4"/>
    <w:rsid w:val="437B4B83"/>
    <w:rsid w:val="43C5363E"/>
    <w:rsid w:val="43F0266D"/>
    <w:rsid w:val="441B5933"/>
    <w:rsid w:val="444B7A53"/>
    <w:rsid w:val="44562207"/>
    <w:rsid w:val="44EF3FD1"/>
    <w:rsid w:val="452D5DB8"/>
    <w:rsid w:val="4534045C"/>
    <w:rsid w:val="45352A25"/>
    <w:rsid w:val="455E66B8"/>
    <w:rsid w:val="458F0387"/>
    <w:rsid w:val="45B13A4A"/>
    <w:rsid w:val="45C46976"/>
    <w:rsid w:val="460F3D97"/>
    <w:rsid w:val="46157C7E"/>
    <w:rsid w:val="461B4C3F"/>
    <w:rsid w:val="461F17AF"/>
    <w:rsid w:val="46707362"/>
    <w:rsid w:val="469F3F08"/>
    <w:rsid w:val="46AA4DBA"/>
    <w:rsid w:val="46E53E93"/>
    <w:rsid w:val="46E6047B"/>
    <w:rsid w:val="47525687"/>
    <w:rsid w:val="47A32C15"/>
    <w:rsid w:val="47D33EDA"/>
    <w:rsid w:val="47F55DE4"/>
    <w:rsid w:val="47FC5A7C"/>
    <w:rsid w:val="48010ED3"/>
    <w:rsid w:val="48514DA6"/>
    <w:rsid w:val="48CA33FC"/>
    <w:rsid w:val="48F31859"/>
    <w:rsid w:val="49316623"/>
    <w:rsid w:val="494372C0"/>
    <w:rsid w:val="495532BE"/>
    <w:rsid w:val="49E34619"/>
    <w:rsid w:val="4A091CE5"/>
    <w:rsid w:val="4A99106D"/>
    <w:rsid w:val="4AC839B1"/>
    <w:rsid w:val="4B100E76"/>
    <w:rsid w:val="4B6C67EC"/>
    <w:rsid w:val="4B8A23E0"/>
    <w:rsid w:val="4BCE2162"/>
    <w:rsid w:val="4BE909E0"/>
    <w:rsid w:val="4BEF1B80"/>
    <w:rsid w:val="4BF7143F"/>
    <w:rsid w:val="4BFF39E8"/>
    <w:rsid w:val="4C290139"/>
    <w:rsid w:val="4C436E03"/>
    <w:rsid w:val="4C4C1669"/>
    <w:rsid w:val="4C7F6D10"/>
    <w:rsid w:val="4CC2524A"/>
    <w:rsid w:val="4CFE5DCC"/>
    <w:rsid w:val="4D293DEA"/>
    <w:rsid w:val="4D6F7C19"/>
    <w:rsid w:val="4DD83BCC"/>
    <w:rsid w:val="4DDE1EAC"/>
    <w:rsid w:val="4DFF1E22"/>
    <w:rsid w:val="4E5D3917"/>
    <w:rsid w:val="4F1C3489"/>
    <w:rsid w:val="4F5C41F1"/>
    <w:rsid w:val="4F9F02E7"/>
    <w:rsid w:val="50195C4C"/>
    <w:rsid w:val="507B7E86"/>
    <w:rsid w:val="51326756"/>
    <w:rsid w:val="518976D2"/>
    <w:rsid w:val="51AC3769"/>
    <w:rsid w:val="522E5111"/>
    <w:rsid w:val="525608BB"/>
    <w:rsid w:val="52935EE2"/>
    <w:rsid w:val="52A674AC"/>
    <w:rsid w:val="52B5636A"/>
    <w:rsid w:val="52C84ED8"/>
    <w:rsid w:val="53072D70"/>
    <w:rsid w:val="53594140"/>
    <w:rsid w:val="53F01D34"/>
    <w:rsid w:val="53F62C20"/>
    <w:rsid w:val="54166BC3"/>
    <w:rsid w:val="541A3E14"/>
    <w:rsid w:val="546D3EBE"/>
    <w:rsid w:val="547E7F44"/>
    <w:rsid w:val="54955781"/>
    <w:rsid w:val="54A203AA"/>
    <w:rsid w:val="54B61F5D"/>
    <w:rsid w:val="551F5FB4"/>
    <w:rsid w:val="55AA1478"/>
    <w:rsid w:val="55CC2F32"/>
    <w:rsid w:val="55D15107"/>
    <w:rsid w:val="55DB78F9"/>
    <w:rsid w:val="56497D05"/>
    <w:rsid w:val="5651762B"/>
    <w:rsid w:val="56542F11"/>
    <w:rsid w:val="568630E0"/>
    <w:rsid w:val="57065AF4"/>
    <w:rsid w:val="570A56DD"/>
    <w:rsid w:val="57730905"/>
    <w:rsid w:val="57783371"/>
    <w:rsid w:val="57C70B78"/>
    <w:rsid w:val="57EE0B46"/>
    <w:rsid w:val="58457272"/>
    <w:rsid w:val="58900246"/>
    <w:rsid w:val="58A14A23"/>
    <w:rsid w:val="58A609DF"/>
    <w:rsid w:val="58CB7923"/>
    <w:rsid w:val="58FF660A"/>
    <w:rsid w:val="594352B9"/>
    <w:rsid w:val="599810F5"/>
    <w:rsid w:val="59A1101C"/>
    <w:rsid w:val="59AF248B"/>
    <w:rsid w:val="59F111B9"/>
    <w:rsid w:val="59F94937"/>
    <w:rsid w:val="5A0E3629"/>
    <w:rsid w:val="5A1455BF"/>
    <w:rsid w:val="5A15432B"/>
    <w:rsid w:val="5A1D1EFC"/>
    <w:rsid w:val="5AC95DC1"/>
    <w:rsid w:val="5AD26541"/>
    <w:rsid w:val="5ADA6DD0"/>
    <w:rsid w:val="5ADE3149"/>
    <w:rsid w:val="5AEF067F"/>
    <w:rsid w:val="5B5612F3"/>
    <w:rsid w:val="5B9444F1"/>
    <w:rsid w:val="5BC052E6"/>
    <w:rsid w:val="5BF85296"/>
    <w:rsid w:val="5C024D2D"/>
    <w:rsid w:val="5C2E04A2"/>
    <w:rsid w:val="5C4972A2"/>
    <w:rsid w:val="5C5B3200"/>
    <w:rsid w:val="5C8639DD"/>
    <w:rsid w:val="5CD458C9"/>
    <w:rsid w:val="5CD901EE"/>
    <w:rsid w:val="5CF05F2A"/>
    <w:rsid w:val="5D054DA9"/>
    <w:rsid w:val="5D2D6E3D"/>
    <w:rsid w:val="5D8F1BE6"/>
    <w:rsid w:val="5DA724B1"/>
    <w:rsid w:val="5DAA5AF3"/>
    <w:rsid w:val="5E9F52ED"/>
    <w:rsid w:val="5F7D08E4"/>
    <w:rsid w:val="5FAB005C"/>
    <w:rsid w:val="5FB74CA0"/>
    <w:rsid w:val="5FE07B70"/>
    <w:rsid w:val="603879BD"/>
    <w:rsid w:val="606B6E69"/>
    <w:rsid w:val="607034DD"/>
    <w:rsid w:val="60912DAE"/>
    <w:rsid w:val="60944A0B"/>
    <w:rsid w:val="60AC578B"/>
    <w:rsid w:val="60D41974"/>
    <w:rsid w:val="612D083D"/>
    <w:rsid w:val="614645F5"/>
    <w:rsid w:val="6154366A"/>
    <w:rsid w:val="617200A8"/>
    <w:rsid w:val="619425EF"/>
    <w:rsid w:val="61B85B0B"/>
    <w:rsid w:val="61CD059E"/>
    <w:rsid w:val="61EB0605"/>
    <w:rsid w:val="627C0528"/>
    <w:rsid w:val="62FB7B80"/>
    <w:rsid w:val="631B421F"/>
    <w:rsid w:val="6320666B"/>
    <w:rsid w:val="633E7ADE"/>
    <w:rsid w:val="63433366"/>
    <w:rsid w:val="63460DBC"/>
    <w:rsid w:val="63891D25"/>
    <w:rsid w:val="63A54A3C"/>
    <w:rsid w:val="63A66D11"/>
    <w:rsid w:val="63A92490"/>
    <w:rsid w:val="63AE49E0"/>
    <w:rsid w:val="63D63827"/>
    <w:rsid w:val="63F10251"/>
    <w:rsid w:val="641674F2"/>
    <w:rsid w:val="643B2761"/>
    <w:rsid w:val="646122F9"/>
    <w:rsid w:val="64C51278"/>
    <w:rsid w:val="64CA5FFF"/>
    <w:rsid w:val="64FD5E67"/>
    <w:rsid w:val="65546448"/>
    <w:rsid w:val="65711670"/>
    <w:rsid w:val="65AE7E08"/>
    <w:rsid w:val="65C63372"/>
    <w:rsid w:val="662C60B7"/>
    <w:rsid w:val="663F28A6"/>
    <w:rsid w:val="66613222"/>
    <w:rsid w:val="668C29E2"/>
    <w:rsid w:val="668F6486"/>
    <w:rsid w:val="670575BF"/>
    <w:rsid w:val="672A7AB8"/>
    <w:rsid w:val="67613B55"/>
    <w:rsid w:val="67F23C6D"/>
    <w:rsid w:val="68655A81"/>
    <w:rsid w:val="68D61B92"/>
    <w:rsid w:val="68E33569"/>
    <w:rsid w:val="694F3806"/>
    <w:rsid w:val="696772FB"/>
    <w:rsid w:val="69E4001D"/>
    <w:rsid w:val="6A095614"/>
    <w:rsid w:val="6A2B4C32"/>
    <w:rsid w:val="6A5B7042"/>
    <w:rsid w:val="6AEA3DA1"/>
    <w:rsid w:val="6AF07B7F"/>
    <w:rsid w:val="6B0B7C00"/>
    <w:rsid w:val="6B2F1B41"/>
    <w:rsid w:val="6B427B77"/>
    <w:rsid w:val="6B4E2D3E"/>
    <w:rsid w:val="6BD96A17"/>
    <w:rsid w:val="6C091100"/>
    <w:rsid w:val="6C1668B8"/>
    <w:rsid w:val="6C530C66"/>
    <w:rsid w:val="6C8C3392"/>
    <w:rsid w:val="6E550CC4"/>
    <w:rsid w:val="6E943BB5"/>
    <w:rsid w:val="6EBC13EB"/>
    <w:rsid w:val="6EBE3907"/>
    <w:rsid w:val="6EC71ECE"/>
    <w:rsid w:val="6F6F4C26"/>
    <w:rsid w:val="6FEF16BE"/>
    <w:rsid w:val="6FF36E5E"/>
    <w:rsid w:val="706B00BB"/>
    <w:rsid w:val="70B43760"/>
    <w:rsid w:val="70DE0D35"/>
    <w:rsid w:val="70DF14BB"/>
    <w:rsid w:val="70EB475C"/>
    <w:rsid w:val="70F01005"/>
    <w:rsid w:val="71397DCB"/>
    <w:rsid w:val="71687CAF"/>
    <w:rsid w:val="71AF12E6"/>
    <w:rsid w:val="71FC2E82"/>
    <w:rsid w:val="727A15DA"/>
    <w:rsid w:val="72B01989"/>
    <w:rsid w:val="72CA1615"/>
    <w:rsid w:val="72DA63FB"/>
    <w:rsid w:val="730C7D63"/>
    <w:rsid w:val="73372296"/>
    <w:rsid w:val="73584999"/>
    <w:rsid w:val="738A4F1A"/>
    <w:rsid w:val="741C0922"/>
    <w:rsid w:val="7449069D"/>
    <w:rsid w:val="74573835"/>
    <w:rsid w:val="75056005"/>
    <w:rsid w:val="75062011"/>
    <w:rsid w:val="758B5B61"/>
    <w:rsid w:val="75AE44DB"/>
    <w:rsid w:val="75B46B29"/>
    <w:rsid w:val="75E7504D"/>
    <w:rsid w:val="75EF53B2"/>
    <w:rsid w:val="76031620"/>
    <w:rsid w:val="76037EB7"/>
    <w:rsid w:val="760B7E8B"/>
    <w:rsid w:val="76B10E65"/>
    <w:rsid w:val="76D01A14"/>
    <w:rsid w:val="76E653E4"/>
    <w:rsid w:val="77730B47"/>
    <w:rsid w:val="77A3153F"/>
    <w:rsid w:val="77B238DE"/>
    <w:rsid w:val="77C975EC"/>
    <w:rsid w:val="77E17612"/>
    <w:rsid w:val="77F85EB7"/>
    <w:rsid w:val="786372CE"/>
    <w:rsid w:val="78697573"/>
    <w:rsid w:val="78D003F8"/>
    <w:rsid w:val="78FE746A"/>
    <w:rsid w:val="792620AF"/>
    <w:rsid w:val="79340797"/>
    <w:rsid w:val="79522E9F"/>
    <w:rsid w:val="79BF4A66"/>
    <w:rsid w:val="79E96674"/>
    <w:rsid w:val="79EA6FF3"/>
    <w:rsid w:val="79FF6F80"/>
    <w:rsid w:val="7A104A82"/>
    <w:rsid w:val="7A350790"/>
    <w:rsid w:val="7A8D2380"/>
    <w:rsid w:val="7AC23E20"/>
    <w:rsid w:val="7AE456E6"/>
    <w:rsid w:val="7C015992"/>
    <w:rsid w:val="7CE92D02"/>
    <w:rsid w:val="7D43447E"/>
    <w:rsid w:val="7D723DB3"/>
    <w:rsid w:val="7D893333"/>
    <w:rsid w:val="7DB36601"/>
    <w:rsid w:val="7DCE15D9"/>
    <w:rsid w:val="7DEC3229"/>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31</Pages>
  <Words>1341</Words>
  <Characters>1440</Characters>
  <Lines>110</Lines>
  <Paragraphs>31</Paragraphs>
  <TotalTime>8</TotalTime>
  <ScaleCrop>false</ScaleCrop>
  <LinksUpToDate>false</LinksUpToDate>
  <CharactersWithSpaces>1464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2026-07-06T09:22:17Z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