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3A900A9">
      <w:pPr>
        <w:pStyle w:val="108"/>
        <w:ind w:firstLine="0" w:firstLineChars="0"/>
        <w:jc w:val="center"/>
        <w:outlineLvl w:val="0"/>
        <w:rPr>
          <w:rFonts w:ascii="Times New Roman" w:hAnsi="Times New Roman" w:eastAsiaTheme="minorEastAsia"/>
          <w:color w:val="auto"/>
        </w:rPr>
      </w:pPr>
    </w:p>
    <w:p w14:paraId="158B449D">
      <w:pPr>
        <w:spacing w:line="900" w:lineRule="exact"/>
        <w:jc w:val="center"/>
        <w:rPr>
          <w:rFonts w:ascii="Times New Roman" w:hAnsi="Times New Roman" w:eastAsia="方正黑体_GBK" w:cs="Times New Roman"/>
          <w:b/>
          <w:color w:val="auto"/>
          <w:sz w:val="44"/>
          <w:szCs w:val="44"/>
        </w:rPr>
      </w:pPr>
      <w:r>
        <w:rPr>
          <w:rFonts w:hint="eastAsia" w:ascii="Times New Roman" w:hAnsi="Times New Roman" w:eastAsia="方正黑体_GBK" w:cs="Times New Roman"/>
          <w:b/>
          <w:color w:val="auto"/>
          <w:sz w:val="44"/>
          <w:szCs w:val="44"/>
        </w:rPr>
        <w:t>重庆财经学院</w:t>
      </w:r>
    </w:p>
    <w:p w14:paraId="1AD4001F">
      <w:pPr>
        <w:spacing w:line="900" w:lineRule="exact"/>
        <w:jc w:val="center"/>
        <w:rPr>
          <w:rFonts w:ascii="Times New Roman" w:hAnsi="Times New Roman" w:eastAsia="方正黑体_GBK" w:cs="Times New Roman"/>
          <w:b/>
          <w:color w:val="auto"/>
          <w:sz w:val="44"/>
          <w:szCs w:val="44"/>
        </w:rPr>
      </w:pPr>
      <w:r>
        <w:rPr>
          <w:rFonts w:hint="eastAsia" w:ascii="Times New Roman" w:hAnsi="Times New Roman" w:eastAsia="方正黑体_GBK" w:cs="Times New Roman"/>
          <w:b/>
          <w:color w:val="auto"/>
          <w:sz w:val="44"/>
          <w:szCs w:val="44"/>
        </w:rPr>
        <w:t>智能车及物联网应用场景实验室建设</w:t>
      </w:r>
    </w:p>
    <w:p w14:paraId="52156ADF">
      <w:pPr>
        <w:spacing w:line="900" w:lineRule="exact"/>
        <w:jc w:val="center"/>
        <w:rPr>
          <w:rFonts w:ascii="Times New Roman" w:hAnsi="Times New Roman" w:eastAsia="方正黑体_GBK" w:cs="Times New Roman"/>
          <w:b/>
          <w:color w:val="auto"/>
          <w:sz w:val="44"/>
          <w:szCs w:val="44"/>
        </w:rPr>
      </w:pPr>
      <w:r>
        <w:rPr>
          <w:rFonts w:hint="eastAsia" w:ascii="Times New Roman" w:hAnsi="Times New Roman" w:eastAsia="方正黑体_GBK" w:cs="Times New Roman"/>
          <w:b/>
          <w:color w:val="auto"/>
          <w:sz w:val="44"/>
          <w:szCs w:val="44"/>
        </w:rPr>
        <w:t>采购项目</w:t>
      </w:r>
    </w:p>
    <w:p w14:paraId="1AB1BD0A">
      <w:pPr>
        <w:spacing w:line="900" w:lineRule="exact"/>
        <w:jc w:val="center"/>
        <w:rPr>
          <w:rFonts w:ascii="Times New Roman" w:hAnsi="Times New Roman" w:eastAsia="方正黑体_GBK" w:cs="Times New Roman"/>
          <w:b/>
          <w:color w:val="auto"/>
          <w:sz w:val="44"/>
          <w:szCs w:val="44"/>
        </w:rPr>
      </w:pPr>
    </w:p>
    <w:p w14:paraId="2FADDBCF">
      <w:pPr>
        <w:spacing w:line="276" w:lineRule="auto"/>
        <w:jc w:val="distribute"/>
        <w:rPr>
          <w:rFonts w:ascii="Times New Roman" w:hAnsi="Times New Roman" w:eastAsia="方正黑体_GBK" w:cs="Times New Roman"/>
          <w:b/>
          <w:color w:val="auto"/>
          <w:sz w:val="52"/>
          <w:szCs w:val="52"/>
        </w:rPr>
      </w:pPr>
      <w:r>
        <w:rPr>
          <w:rFonts w:ascii="Times New Roman" w:hAnsi="Times New Roman" w:eastAsia="方正黑体_GBK" w:cs="Times New Roman"/>
          <w:b/>
          <w:color w:val="auto"/>
          <w:sz w:val="52"/>
          <w:szCs w:val="52"/>
        </w:rPr>
        <w:t>招</w:t>
      </w:r>
    </w:p>
    <w:p w14:paraId="3BD6705D">
      <w:pPr>
        <w:spacing w:line="276" w:lineRule="auto"/>
        <w:jc w:val="distribute"/>
        <w:rPr>
          <w:rFonts w:ascii="Times New Roman" w:hAnsi="Times New Roman" w:eastAsia="方正黑体_GBK" w:cs="Times New Roman"/>
          <w:b/>
          <w:color w:val="auto"/>
          <w:sz w:val="52"/>
          <w:szCs w:val="52"/>
        </w:rPr>
      </w:pPr>
      <w:r>
        <w:rPr>
          <w:rFonts w:ascii="Times New Roman" w:hAnsi="Times New Roman" w:eastAsia="方正黑体_GBK" w:cs="Times New Roman"/>
          <w:b/>
          <w:color w:val="auto"/>
          <w:sz w:val="52"/>
          <w:szCs w:val="52"/>
        </w:rPr>
        <w:t>标</w:t>
      </w:r>
    </w:p>
    <w:p w14:paraId="2CA1634C">
      <w:pPr>
        <w:spacing w:line="276" w:lineRule="auto"/>
        <w:jc w:val="distribute"/>
        <w:rPr>
          <w:rFonts w:ascii="Times New Roman" w:hAnsi="Times New Roman" w:eastAsia="方正黑体_GBK" w:cs="Times New Roman"/>
          <w:b/>
          <w:color w:val="auto"/>
          <w:sz w:val="52"/>
          <w:szCs w:val="52"/>
        </w:rPr>
      </w:pPr>
      <w:r>
        <w:rPr>
          <w:rFonts w:ascii="Times New Roman" w:hAnsi="Times New Roman" w:eastAsia="方正黑体_GBK" w:cs="Times New Roman"/>
          <w:b/>
          <w:color w:val="auto"/>
          <w:sz w:val="52"/>
          <w:szCs w:val="52"/>
        </w:rPr>
        <w:t>文</w:t>
      </w:r>
    </w:p>
    <w:p w14:paraId="466B2756">
      <w:pPr>
        <w:spacing w:line="276" w:lineRule="auto"/>
        <w:jc w:val="distribute"/>
        <w:rPr>
          <w:rFonts w:ascii="Times New Roman" w:hAnsi="Times New Roman" w:eastAsia="方正黑体_GBK" w:cs="Times New Roman"/>
          <w:b/>
          <w:color w:val="auto"/>
          <w:sz w:val="52"/>
          <w:szCs w:val="52"/>
        </w:rPr>
      </w:pPr>
      <w:r>
        <w:rPr>
          <w:rFonts w:ascii="Times New Roman" w:hAnsi="Times New Roman" w:eastAsia="方正黑体_GBK" w:cs="Times New Roman"/>
          <w:b/>
          <w:color w:val="auto"/>
          <w:sz w:val="52"/>
          <w:szCs w:val="52"/>
        </w:rPr>
        <w:t>件</w:t>
      </w:r>
    </w:p>
    <w:p w14:paraId="17D0E816">
      <w:pPr>
        <w:spacing w:after="120" w:afterLines="50"/>
        <w:rPr>
          <w:rFonts w:ascii="Times New Roman" w:hAnsi="Times New Roman" w:eastAsia="方正黑体_GBK" w:cs="Times New Roman"/>
          <w:b/>
          <w:color w:val="auto"/>
          <w:sz w:val="72"/>
        </w:rPr>
      </w:pPr>
    </w:p>
    <w:p w14:paraId="44643F4D">
      <w:pPr>
        <w:tabs>
          <w:tab w:val="left" w:pos="5641"/>
        </w:tabs>
        <w:spacing w:after="120" w:afterLines="50" w:line="500" w:lineRule="exact"/>
        <w:ind w:firstLine="1979" w:firstLineChars="618"/>
        <w:rPr>
          <w:rFonts w:ascii="Times New Roman" w:hAnsi="Times New Roman" w:eastAsia="方正黑体_GBK" w:cs="Times New Roman"/>
          <w:b/>
          <w:color w:val="auto"/>
          <w:sz w:val="32"/>
        </w:rPr>
      </w:pPr>
    </w:p>
    <w:p w14:paraId="54DD465C">
      <w:pPr>
        <w:tabs>
          <w:tab w:val="left" w:pos="5641"/>
        </w:tabs>
        <w:spacing w:after="120" w:afterLines="50" w:line="500" w:lineRule="exact"/>
        <w:ind w:firstLine="1979" w:firstLineChars="618"/>
        <w:rPr>
          <w:rFonts w:ascii="Times New Roman" w:hAnsi="Times New Roman" w:eastAsia="方正黑体_GBK" w:cs="Times New Roman"/>
          <w:b/>
          <w:color w:val="auto"/>
          <w:sz w:val="32"/>
        </w:rPr>
      </w:pPr>
      <w:r>
        <w:rPr>
          <w:rFonts w:hint="eastAsia" w:ascii="Times New Roman" w:hAnsi="Times New Roman" w:eastAsia="方正黑体_GBK" w:cs="Times New Roman"/>
          <w:b/>
          <w:color w:val="auto"/>
          <w:sz w:val="32"/>
        </w:rPr>
        <w:tab/>
      </w:r>
    </w:p>
    <w:p w14:paraId="47E12C03">
      <w:pPr>
        <w:spacing w:after="120" w:afterLines="50" w:line="500" w:lineRule="exact"/>
        <w:ind w:firstLine="1979" w:firstLineChars="618"/>
        <w:rPr>
          <w:rFonts w:ascii="Times New Roman" w:hAnsi="Times New Roman" w:eastAsia="方正黑体_GBK" w:cs="Times New Roman"/>
          <w:b/>
          <w:color w:val="auto"/>
          <w:sz w:val="32"/>
        </w:rPr>
      </w:pPr>
    </w:p>
    <w:p w14:paraId="24623AD8">
      <w:pPr>
        <w:spacing w:after="120" w:afterLines="50" w:line="500" w:lineRule="exact"/>
        <w:ind w:firstLine="2616" w:firstLineChars="817"/>
        <w:rPr>
          <w:rFonts w:ascii="Times New Roman" w:hAnsi="Times New Roman" w:eastAsia="方正黑体_GBK" w:cs="Times New Roman"/>
          <w:b/>
          <w:color w:val="auto"/>
          <w:sz w:val="32"/>
        </w:rPr>
      </w:pPr>
      <w:r>
        <w:rPr>
          <w:rFonts w:ascii="Times New Roman" w:hAnsi="Times New Roman" w:eastAsia="方正黑体_GBK" w:cs="Times New Roman"/>
          <w:b/>
          <w:color w:val="auto"/>
          <w:sz w:val="32"/>
        </w:rPr>
        <w:t>招标人：重庆财经学院</w:t>
      </w:r>
    </w:p>
    <w:p w14:paraId="67783C72">
      <w:pPr>
        <w:spacing w:after="120" w:afterLines="50" w:line="500" w:lineRule="exact"/>
        <w:ind w:firstLine="2616" w:firstLineChars="817"/>
        <w:rPr>
          <w:rFonts w:ascii="Times New Roman" w:hAnsi="Times New Roman" w:eastAsia="方正黑体_GBK" w:cs="Times New Roman"/>
          <w:b/>
          <w:color w:val="auto"/>
          <w:sz w:val="32"/>
        </w:rPr>
      </w:pPr>
      <w:r>
        <w:rPr>
          <w:rFonts w:ascii="Times New Roman" w:hAnsi="Times New Roman" w:eastAsia="方正黑体_GBK" w:cs="Times New Roman"/>
          <w:b/>
          <w:color w:val="auto"/>
          <w:sz w:val="32"/>
        </w:rPr>
        <w:t>招标日期：202</w:t>
      </w:r>
      <w:r>
        <w:rPr>
          <w:rFonts w:hint="eastAsia" w:ascii="Times New Roman" w:hAnsi="Times New Roman" w:eastAsia="方正黑体_GBK" w:cs="Times New Roman"/>
          <w:b/>
          <w:color w:val="auto"/>
          <w:sz w:val="32"/>
        </w:rPr>
        <w:t>6</w:t>
      </w:r>
      <w:r>
        <w:rPr>
          <w:rFonts w:ascii="Times New Roman" w:hAnsi="Times New Roman" w:eastAsia="方正黑体_GBK" w:cs="Times New Roman"/>
          <w:b/>
          <w:color w:val="auto"/>
          <w:sz w:val="32"/>
        </w:rPr>
        <w:t>年</w:t>
      </w:r>
      <w:r>
        <w:rPr>
          <w:rFonts w:hint="eastAsia" w:ascii="Times New Roman" w:hAnsi="Times New Roman" w:eastAsia="方正黑体_GBK" w:cs="Times New Roman"/>
          <w:b/>
          <w:color w:val="auto"/>
          <w:sz w:val="32"/>
        </w:rPr>
        <w:t>7</w:t>
      </w:r>
      <w:r>
        <w:rPr>
          <w:rFonts w:ascii="Times New Roman" w:hAnsi="Times New Roman" w:eastAsia="方正黑体_GBK" w:cs="Times New Roman"/>
          <w:b/>
          <w:color w:val="auto"/>
          <w:sz w:val="32"/>
        </w:rPr>
        <w:t>月</w:t>
      </w:r>
    </w:p>
    <w:p w14:paraId="0AB3C24D">
      <w:pPr>
        <w:pStyle w:val="194"/>
        <w:jc w:val="center"/>
        <w:rPr>
          <w:rFonts w:ascii="Times New Roman" w:hAnsi="Times New Roman" w:eastAsia="宋体" w:cs="Times New Roman"/>
          <w:b w:val="0"/>
          <w:bCs w:val="0"/>
          <w:color w:val="auto"/>
          <w:kern w:val="2"/>
          <w:sz w:val="36"/>
          <w:szCs w:val="36"/>
          <w:lang w:val="zh-CN"/>
        </w:rPr>
      </w:pPr>
    </w:p>
    <w:sdt>
      <w:sdtPr>
        <w:rPr>
          <w:rFonts w:ascii="Times New Roman" w:hAnsi="Times New Roman" w:eastAsia="宋体" w:cs="Times New Roman"/>
          <w:b w:val="0"/>
          <w:bCs w:val="0"/>
          <w:color w:val="auto"/>
          <w:kern w:val="2"/>
          <w:sz w:val="36"/>
          <w:szCs w:val="36"/>
          <w:lang w:val="zh-CN"/>
        </w:rPr>
        <w:id w:val="99690147"/>
      </w:sdtPr>
      <w:sdtEndPr>
        <w:rPr>
          <w:rFonts w:ascii="Times New Roman" w:hAnsi="Times New Roman" w:eastAsia="方正黑体_GBK" w:cs="Times New Roman"/>
          <w:b w:val="0"/>
          <w:bCs w:val="0"/>
          <w:color w:val="auto"/>
          <w:kern w:val="2"/>
          <w:sz w:val="24"/>
          <w:szCs w:val="24"/>
          <w:lang w:val="zh-CN"/>
        </w:rPr>
      </w:sdtEndPr>
      <w:sdtContent>
        <w:sdt>
          <w:sdtPr>
            <w:rPr>
              <w:rFonts w:hint="eastAsia" w:ascii="宋体" w:hAnsi="宋体" w:eastAsia="宋体" w:cs="宋体"/>
              <w:b w:val="0"/>
              <w:bCs w:val="0"/>
              <w:color w:val="auto"/>
              <w:kern w:val="2"/>
              <w:sz w:val="36"/>
              <w:szCs w:val="36"/>
              <w:lang w:val="zh-CN"/>
            </w:rPr>
            <w:id w:val="147462012"/>
          </w:sdtPr>
          <w:sdtEndPr>
            <w:rPr>
              <w:rFonts w:hint="eastAsia" w:ascii="方正黑体_GBK" w:hAnsi="方正黑体_GBK" w:eastAsia="方正黑体_GBK" w:cs="方正黑体_GBK"/>
              <w:b w:val="0"/>
              <w:bCs w:val="0"/>
              <w:color w:val="auto"/>
              <w:kern w:val="2"/>
              <w:sz w:val="24"/>
              <w:szCs w:val="24"/>
              <w:lang w:val="zh-CN"/>
            </w:rPr>
          </w:sdtEndPr>
          <w:sdtContent>
            <w:p w14:paraId="2D31B221">
              <w:pPr>
                <w:pStyle w:val="194"/>
                <w:jc w:val="center"/>
                <w:rPr>
                  <w:rFonts w:hint="eastAsia" w:ascii="宋体" w:hAnsi="宋体" w:eastAsia="宋体" w:cs="宋体"/>
                  <w:b w:val="0"/>
                  <w:bCs w:val="0"/>
                  <w:color w:val="auto"/>
                  <w:kern w:val="2"/>
                  <w:sz w:val="36"/>
                  <w:szCs w:val="36"/>
                  <w:lang w:val="zh-CN"/>
                </w:rPr>
              </w:pPr>
            </w:p>
            <w:p w14:paraId="668B71A1">
              <w:pPr>
                <w:pStyle w:val="194"/>
                <w:jc w:val="center"/>
                <w:rPr>
                  <w:rFonts w:hint="eastAsia" w:ascii="宋体" w:hAnsi="宋体" w:eastAsia="宋体" w:cs="宋体"/>
                  <w:color w:val="auto"/>
                  <w:sz w:val="36"/>
                  <w:szCs w:val="36"/>
                  <w:lang w:val="zh-CN"/>
                </w:rPr>
              </w:pPr>
              <w:r>
                <w:rPr>
                  <w:rFonts w:hint="eastAsia" w:ascii="宋体" w:hAnsi="宋体" w:eastAsia="宋体" w:cs="宋体"/>
                  <w:color w:val="auto"/>
                  <w:sz w:val="36"/>
                  <w:szCs w:val="36"/>
                  <w:lang w:val="zh-CN"/>
                </w:rPr>
                <w:t>目录</w:t>
              </w:r>
            </w:p>
            <w:p w14:paraId="0E931EEF">
              <w:pPr>
                <w:rPr>
                  <w:color w:val="auto"/>
                  <w:lang w:val="zh-CN"/>
                </w:rPr>
              </w:pPr>
            </w:p>
            <w:p w14:paraId="3D166A73">
              <w:pPr>
                <w:rPr>
                  <w:color w:val="auto"/>
                </w:rPr>
              </w:pPr>
            </w:p>
            <w:p w14:paraId="1FFE9D63">
              <w:pPr>
                <w:pStyle w:val="30"/>
                <w:tabs>
                  <w:tab w:val="right" w:leader="dot" w:pos="9001"/>
                </w:tabs>
                <w:rPr>
                  <w:rFonts w:ascii="Times New Roman" w:hAnsi="Times New Roman" w:eastAsia="方正仿宋_GBK" w:cs="Times New Roman"/>
                  <w:b w:val="0"/>
                  <w:caps w:val="0"/>
                  <w:color w:val="auto"/>
                  <w:sz w:val="32"/>
                  <w:szCs w:val="32"/>
                </w:rPr>
              </w:pPr>
              <w:r>
                <w:rPr>
                  <w:rFonts w:hint="eastAsia" w:ascii="Times New Roman" w:hAnsi="Times New Roman" w:eastAsia="方正仿宋_GBK" w:cs="Times New Roman"/>
                  <w:b w:val="0"/>
                  <w:caps w:val="0"/>
                  <w:color w:val="auto"/>
                  <w:sz w:val="32"/>
                  <w:szCs w:val="32"/>
                </w:rPr>
                <w:fldChar w:fldCharType="begin"/>
              </w:r>
              <w:r>
                <w:rPr>
                  <w:rFonts w:hint="eastAsia" w:ascii="Times New Roman" w:hAnsi="Times New Roman" w:eastAsia="方正仿宋_GBK" w:cs="Times New Roman"/>
                  <w:b w:val="0"/>
                  <w:caps w:val="0"/>
                  <w:color w:val="auto"/>
                  <w:sz w:val="32"/>
                  <w:szCs w:val="32"/>
                </w:rPr>
                <w:instrText xml:space="preserve"> TOC \o "1-3" \h \z \u </w:instrText>
              </w:r>
              <w:r>
                <w:rPr>
                  <w:rFonts w:hint="eastAsia" w:ascii="Times New Roman" w:hAnsi="Times New Roman" w:eastAsia="方正仿宋_GBK" w:cs="Times New Roman"/>
                  <w:b w:val="0"/>
                  <w:caps w:val="0"/>
                  <w:color w:val="auto"/>
                  <w:sz w:val="32"/>
                  <w:szCs w:val="32"/>
                </w:rPr>
                <w:fldChar w:fldCharType="separate"/>
              </w:r>
              <w:r>
                <w:rPr>
                  <w:color w:val="auto"/>
                </w:rPr>
                <w:fldChar w:fldCharType="begin"/>
              </w:r>
              <w:r>
                <w:rPr>
                  <w:color w:val="auto"/>
                </w:rPr>
                <w:instrText xml:space="preserve"> HYPERLINK \l "_Toc24514" </w:instrText>
              </w:r>
              <w:r>
                <w:rPr>
                  <w:color w:val="auto"/>
                </w:rPr>
                <w:fldChar w:fldCharType="separate"/>
              </w:r>
              <w:r>
                <w:rPr>
                  <w:rFonts w:hint="eastAsia" w:ascii="Times New Roman" w:hAnsi="Times New Roman" w:eastAsia="方正仿宋_GBK" w:cs="Times New Roman"/>
                  <w:b w:val="0"/>
                  <w:caps w:val="0"/>
                  <w:color w:val="auto"/>
                  <w:sz w:val="32"/>
                  <w:szCs w:val="32"/>
                </w:rPr>
                <w:t>第一章 招标公告</w:t>
              </w:r>
              <w:r>
                <w:rPr>
                  <w:rFonts w:hint="eastAsia" w:ascii="Times New Roman" w:hAnsi="Times New Roman" w:eastAsia="方正仿宋_GBK" w:cs="Times New Roman"/>
                  <w:b w:val="0"/>
                  <w:caps w:val="0"/>
                  <w:color w:val="auto"/>
                  <w:sz w:val="32"/>
                  <w:szCs w:val="32"/>
                </w:rPr>
                <w:tab/>
              </w:r>
              <w:r>
                <w:rPr>
                  <w:rFonts w:hint="eastAsia" w:ascii="Times New Roman" w:hAnsi="Times New Roman" w:eastAsia="方正仿宋_GBK" w:cs="Times New Roman"/>
                  <w:b w:val="0"/>
                  <w:caps w:val="0"/>
                  <w:color w:val="auto"/>
                  <w:sz w:val="32"/>
                  <w:szCs w:val="32"/>
                </w:rPr>
                <w:fldChar w:fldCharType="begin"/>
              </w:r>
              <w:r>
                <w:rPr>
                  <w:rFonts w:hint="eastAsia" w:ascii="Times New Roman" w:hAnsi="Times New Roman" w:eastAsia="方正仿宋_GBK" w:cs="Times New Roman"/>
                  <w:b w:val="0"/>
                  <w:caps w:val="0"/>
                  <w:color w:val="auto"/>
                  <w:sz w:val="32"/>
                  <w:szCs w:val="32"/>
                </w:rPr>
                <w:instrText xml:space="preserve"> PAGEREF _Toc24514 \h </w:instrText>
              </w:r>
              <w:r>
                <w:rPr>
                  <w:rFonts w:hint="eastAsia" w:ascii="Times New Roman" w:hAnsi="Times New Roman" w:eastAsia="方正仿宋_GBK" w:cs="Times New Roman"/>
                  <w:b w:val="0"/>
                  <w:caps w:val="0"/>
                  <w:color w:val="auto"/>
                  <w:sz w:val="32"/>
                  <w:szCs w:val="32"/>
                </w:rPr>
                <w:fldChar w:fldCharType="separate"/>
              </w:r>
              <w:r>
                <w:rPr>
                  <w:rFonts w:hint="eastAsia" w:ascii="Times New Roman" w:hAnsi="Times New Roman" w:eastAsia="方正仿宋_GBK" w:cs="Times New Roman"/>
                  <w:b w:val="0"/>
                  <w:caps w:val="0"/>
                  <w:color w:val="auto"/>
                  <w:sz w:val="32"/>
                  <w:szCs w:val="32"/>
                </w:rPr>
                <w:t>3</w:t>
              </w:r>
              <w:r>
                <w:rPr>
                  <w:rFonts w:hint="eastAsia" w:ascii="Times New Roman" w:hAnsi="Times New Roman" w:eastAsia="方正仿宋_GBK" w:cs="Times New Roman"/>
                  <w:b w:val="0"/>
                  <w:caps w:val="0"/>
                  <w:color w:val="auto"/>
                  <w:sz w:val="32"/>
                  <w:szCs w:val="32"/>
                </w:rPr>
                <w:fldChar w:fldCharType="end"/>
              </w:r>
              <w:r>
                <w:rPr>
                  <w:rFonts w:hint="eastAsia" w:ascii="Times New Roman" w:hAnsi="Times New Roman" w:eastAsia="方正仿宋_GBK" w:cs="Times New Roman"/>
                  <w:b w:val="0"/>
                  <w:caps w:val="0"/>
                  <w:color w:val="auto"/>
                  <w:sz w:val="32"/>
                  <w:szCs w:val="32"/>
                </w:rPr>
                <w:fldChar w:fldCharType="end"/>
              </w:r>
            </w:p>
            <w:p w14:paraId="05E8B01E">
              <w:pPr>
                <w:pStyle w:val="30"/>
                <w:tabs>
                  <w:tab w:val="right" w:leader="dot" w:pos="9001"/>
                </w:tabs>
                <w:rPr>
                  <w:rFonts w:ascii="Times New Roman" w:hAnsi="Times New Roman" w:eastAsia="方正仿宋_GBK" w:cs="Times New Roman"/>
                  <w:b w:val="0"/>
                  <w:caps w:val="0"/>
                  <w:color w:val="auto"/>
                  <w:sz w:val="32"/>
                  <w:szCs w:val="32"/>
                  <w:lang w:val="zh-CN"/>
                </w:rPr>
              </w:pPr>
            </w:p>
            <w:p w14:paraId="4AB91782">
              <w:pPr>
                <w:pStyle w:val="30"/>
                <w:tabs>
                  <w:tab w:val="right" w:leader="dot" w:pos="9001"/>
                </w:tabs>
                <w:rPr>
                  <w:rFonts w:ascii="Times New Roman" w:hAnsi="Times New Roman" w:eastAsia="方正仿宋_GBK" w:cs="Times New Roman"/>
                  <w:b w:val="0"/>
                  <w:caps w:val="0"/>
                  <w:color w:val="auto"/>
                  <w:sz w:val="32"/>
                  <w:szCs w:val="32"/>
                  <w:lang w:val="zh-CN"/>
                </w:rPr>
              </w:pPr>
            </w:p>
            <w:p w14:paraId="39C7C14D">
              <w:pPr>
                <w:pStyle w:val="30"/>
                <w:tabs>
                  <w:tab w:val="right" w:leader="dot" w:pos="9001"/>
                </w:tabs>
                <w:rPr>
                  <w:rFonts w:ascii="Times New Roman" w:hAnsi="Times New Roman" w:eastAsia="方正仿宋_GBK" w:cs="Times New Roman"/>
                  <w:b w:val="0"/>
                  <w:caps w:val="0"/>
                  <w:color w:val="auto"/>
                  <w:sz w:val="32"/>
                  <w:szCs w:val="32"/>
                </w:rPr>
              </w:pPr>
              <w:r>
                <w:rPr>
                  <w:color w:val="auto"/>
                </w:rPr>
                <w:fldChar w:fldCharType="begin"/>
              </w:r>
              <w:r>
                <w:rPr>
                  <w:color w:val="auto"/>
                </w:rPr>
                <w:instrText xml:space="preserve"> HYPERLINK \l "_Toc5074" </w:instrText>
              </w:r>
              <w:r>
                <w:rPr>
                  <w:color w:val="auto"/>
                </w:rPr>
                <w:fldChar w:fldCharType="separate"/>
              </w:r>
              <w:r>
                <w:rPr>
                  <w:rFonts w:hint="eastAsia" w:ascii="Times New Roman" w:hAnsi="Times New Roman" w:eastAsia="方正仿宋_GBK" w:cs="Times New Roman"/>
                  <w:b w:val="0"/>
                  <w:caps w:val="0"/>
                  <w:color w:val="auto"/>
                  <w:sz w:val="32"/>
                  <w:szCs w:val="32"/>
                </w:rPr>
                <w:t>第二章 投标人须知</w:t>
              </w:r>
              <w:r>
                <w:rPr>
                  <w:rFonts w:hint="eastAsia" w:ascii="Times New Roman" w:hAnsi="Times New Roman" w:eastAsia="方正仿宋_GBK" w:cs="Times New Roman"/>
                  <w:b w:val="0"/>
                  <w:caps w:val="0"/>
                  <w:color w:val="auto"/>
                  <w:sz w:val="32"/>
                  <w:szCs w:val="32"/>
                </w:rPr>
                <w:tab/>
              </w:r>
              <w:r>
                <w:rPr>
                  <w:rFonts w:hint="eastAsia" w:ascii="Times New Roman" w:hAnsi="Times New Roman" w:eastAsia="方正仿宋_GBK" w:cs="Times New Roman"/>
                  <w:b w:val="0"/>
                  <w:caps w:val="0"/>
                  <w:color w:val="auto"/>
                  <w:sz w:val="32"/>
                  <w:szCs w:val="32"/>
                </w:rPr>
                <w:fldChar w:fldCharType="begin"/>
              </w:r>
              <w:r>
                <w:rPr>
                  <w:rFonts w:hint="eastAsia" w:ascii="Times New Roman" w:hAnsi="Times New Roman" w:eastAsia="方正仿宋_GBK" w:cs="Times New Roman"/>
                  <w:b w:val="0"/>
                  <w:caps w:val="0"/>
                  <w:color w:val="auto"/>
                  <w:sz w:val="32"/>
                  <w:szCs w:val="32"/>
                </w:rPr>
                <w:instrText xml:space="preserve"> PAGEREF _Toc5074 \h </w:instrText>
              </w:r>
              <w:r>
                <w:rPr>
                  <w:rFonts w:hint="eastAsia" w:ascii="Times New Roman" w:hAnsi="Times New Roman" w:eastAsia="方正仿宋_GBK" w:cs="Times New Roman"/>
                  <w:b w:val="0"/>
                  <w:caps w:val="0"/>
                  <w:color w:val="auto"/>
                  <w:sz w:val="32"/>
                  <w:szCs w:val="32"/>
                </w:rPr>
                <w:fldChar w:fldCharType="separate"/>
              </w:r>
              <w:r>
                <w:rPr>
                  <w:rFonts w:hint="eastAsia" w:ascii="Times New Roman" w:hAnsi="Times New Roman" w:eastAsia="方正仿宋_GBK" w:cs="Times New Roman"/>
                  <w:b w:val="0"/>
                  <w:caps w:val="0"/>
                  <w:color w:val="auto"/>
                  <w:sz w:val="32"/>
                  <w:szCs w:val="32"/>
                </w:rPr>
                <w:t>6</w:t>
              </w:r>
              <w:r>
                <w:rPr>
                  <w:rFonts w:hint="eastAsia" w:ascii="Times New Roman" w:hAnsi="Times New Roman" w:eastAsia="方正仿宋_GBK" w:cs="Times New Roman"/>
                  <w:b w:val="0"/>
                  <w:caps w:val="0"/>
                  <w:color w:val="auto"/>
                  <w:sz w:val="32"/>
                  <w:szCs w:val="32"/>
                </w:rPr>
                <w:fldChar w:fldCharType="end"/>
              </w:r>
              <w:r>
                <w:rPr>
                  <w:rFonts w:hint="eastAsia" w:ascii="Times New Roman" w:hAnsi="Times New Roman" w:eastAsia="方正仿宋_GBK" w:cs="Times New Roman"/>
                  <w:b w:val="0"/>
                  <w:caps w:val="0"/>
                  <w:color w:val="auto"/>
                  <w:sz w:val="32"/>
                  <w:szCs w:val="32"/>
                </w:rPr>
                <w:fldChar w:fldCharType="end"/>
              </w:r>
            </w:p>
            <w:p w14:paraId="3F4F701A">
              <w:pPr>
                <w:pStyle w:val="30"/>
                <w:tabs>
                  <w:tab w:val="right" w:leader="dot" w:pos="9001"/>
                </w:tabs>
                <w:rPr>
                  <w:rFonts w:ascii="Times New Roman" w:hAnsi="Times New Roman" w:eastAsia="方正仿宋_GBK" w:cs="Times New Roman"/>
                  <w:b w:val="0"/>
                  <w:caps w:val="0"/>
                  <w:color w:val="auto"/>
                  <w:sz w:val="32"/>
                  <w:szCs w:val="32"/>
                  <w:lang w:val="zh-CN"/>
                </w:rPr>
              </w:pPr>
            </w:p>
            <w:p w14:paraId="658C7A12">
              <w:pPr>
                <w:pStyle w:val="30"/>
                <w:tabs>
                  <w:tab w:val="right" w:leader="dot" w:pos="9001"/>
                </w:tabs>
                <w:rPr>
                  <w:rFonts w:ascii="Times New Roman" w:hAnsi="Times New Roman" w:eastAsia="方正仿宋_GBK" w:cs="Times New Roman"/>
                  <w:b w:val="0"/>
                  <w:caps w:val="0"/>
                  <w:color w:val="auto"/>
                  <w:sz w:val="32"/>
                  <w:szCs w:val="32"/>
                  <w:lang w:val="zh-CN"/>
                </w:rPr>
              </w:pPr>
            </w:p>
            <w:p w14:paraId="59340291">
              <w:pPr>
                <w:pStyle w:val="30"/>
                <w:tabs>
                  <w:tab w:val="right" w:leader="dot" w:pos="9001"/>
                </w:tabs>
                <w:rPr>
                  <w:rFonts w:ascii="Times New Roman" w:hAnsi="Times New Roman" w:eastAsia="方正仿宋_GBK" w:cs="Times New Roman"/>
                  <w:b w:val="0"/>
                  <w:caps w:val="0"/>
                  <w:color w:val="auto"/>
                  <w:sz w:val="32"/>
                  <w:szCs w:val="32"/>
                </w:rPr>
              </w:pPr>
              <w:r>
                <w:rPr>
                  <w:color w:val="auto"/>
                </w:rPr>
                <w:fldChar w:fldCharType="begin"/>
              </w:r>
              <w:r>
                <w:rPr>
                  <w:color w:val="auto"/>
                </w:rPr>
                <w:instrText xml:space="preserve"> HYPERLINK \l "_Toc18694" </w:instrText>
              </w:r>
              <w:r>
                <w:rPr>
                  <w:color w:val="auto"/>
                </w:rPr>
                <w:fldChar w:fldCharType="separate"/>
              </w:r>
              <w:r>
                <w:rPr>
                  <w:rFonts w:hint="eastAsia" w:ascii="Times New Roman" w:hAnsi="Times New Roman" w:eastAsia="方正仿宋_GBK" w:cs="Times New Roman"/>
                  <w:b w:val="0"/>
                  <w:caps w:val="0"/>
                  <w:color w:val="auto"/>
                  <w:sz w:val="32"/>
                  <w:szCs w:val="32"/>
                </w:rPr>
                <w:t>第三章 招标数量及参数要求</w:t>
              </w:r>
              <w:r>
                <w:rPr>
                  <w:rFonts w:hint="eastAsia" w:ascii="Times New Roman" w:hAnsi="Times New Roman" w:eastAsia="方正仿宋_GBK" w:cs="Times New Roman"/>
                  <w:b w:val="0"/>
                  <w:caps w:val="0"/>
                  <w:color w:val="auto"/>
                  <w:sz w:val="32"/>
                  <w:szCs w:val="32"/>
                </w:rPr>
                <w:tab/>
              </w:r>
              <w:r>
                <w:rPr>
                  <w:rFonts w:hint="eastAsia" w:ascii="Times New Roman" w:hAnsi="Times New Roman" w:eastAsia="方正仿宋_GBK" w:cs="Times New Roman"/>
                  <w:b w:val="0"/>
                  <w:caps w:val="0"/>
                  <w:color w:val="auto"/>
                  <w:sz w:val="32"/>
                  <w:szCs w:val="32"/>
                </w:rPr>
                <w:fldChar w:fldCharType="begin"/>
              </w:r>
              <w:r>
                <w:rPr>
                  <w:rFonts w:hint="eastAsia" w:ascii="Times New Roman" w:hAnsi="Times New Roman" w:eastAsia="方正仿宋_GBK" w:cs="Times New Roman"/>
                  <w:b w:val="0"/>
                  <w:caps w:val="0"/>
                  <w:color w:val="auto"/>
                  <w:sz w:val="32"/>
                  <w:szCs w:val="32"/>
                </w:rPr>
                <w:instrText xml:space="preserve"> PAGEREF _Toc18694 \h </w:instrText>
              </w:r>
              <w:r>
                <w:rPr>
                  <w:rFonts w:hint="eastAsia" w:ascii="Times New Roman" w:hAnsi="Times New Roman" w:eastAsia="方正仿宋_GBK" w:cs="Times New Roman"/>
                  <w:b w:val="0"/>
                  <w:caps w:val="0"/>
                  <w:color w:val="auto"/>
                  <w:sz w:val="32"/>
                  <w:szCs w:val="32"/>
                </w:rPr>
                <w:fldChar w:fldCharType="separate"/>
              </w:r>
              <w:r>
                <w:rPr>
                  <w:rFonts w:hint="eastAsia" w:ascii="Times New Roman" w:hAnsi="Times New Roman" w:eastAsia="方正仿宋_GBK" w:cs="Times New Roman"/>
                  <w:b w:val="0"/>
                  <w:caps w:val="0"/>
                  <w:color w:val="auto"/>
                  <w:sz w:val="32"/>
                  <w:szCs w:val="32"/>
                </w:rPr>
                <w:t>17</w:t>
              </w:r>
              <w:r>
                <w:rPr>
                  <w:rFonts w:hint="eastAsia" w:ascii="Times New Roman" w:hAnsi="Times New Roman" w:eastAsia="方正仿宋_GBK" w:cs="Times New Roman"/>
                  <w:b w:val="0"/>
                  <w:caps w:val="0"/>
                  <w:color w:val="auto"/>
                  <w:sz w:val="32"/>
                  <w:szCs w:val="32"/>
                </w:rPr>
                <w:fldChar w:fldCharType="end"/>
              </w:r>
              <w:r>
                <w:rPr>
                  <w:rFonts w:hint="eastAsia" w:ascii="Times New Roman" w:hAnsi="Times New Roman" w:eastAsia="方正仿宋_GBK" w:cs="Times New Roman"/>
                  <w:b w:val="0"/>
                  <w:caps w:val="0"/>
                  <w:color w:val="auto"/>
                  <w:sz w:val="32"/>
                  <w:szCs w:val="32"/>
                </w:rPr>
                <w:fldChar w:fldCharType="end"/>
              </w:r>
            </w:p>
            <w:p w14:paraId="3B536272">
              <w:pPr>
                <w:pStyle w:val="30"/>
                <w:tabs>
                  <w:tab w:val="right" w:leader="dot" w:pos="9001"/>
                </w:tabs>
                <w:rPr>
                  <w:rFonts w:ascii="Times New Roman" w:hAnsi="Times New Roman" w:eastAsia="方正仿宋_GBK" w:cs="Times New Roman"/>
                  <w:b w:val="0"/>
                  <w:caps w:val="0"/>
                  <w:color w:val="auto"/>
                  <w:sz w:val="32"/>
                  <w:szCs w:val="32"/>
                  <w:lang w:val="zh-CN"/>
                </w:rPr>
              </w:pPr>
            </w:p>
            <w:p w14:paraId="08F48D3A">
              <w:pPr>
                <w:pStyle w:val="30"/>
                <w:tabs>
                  <w:tab w:val="right" w:leader="dot" w:pos="9001"/>
                </w:tabs>
                <w:rPr>
                  <w:rFonts w:ascii="Times New Roman" w:hAnsi="Times New Roman" w:eastAsia="方正仿宋_GBK" w:cs="Times New Roman"/>
                  <w:b w:val="0"/>
                  <w:caps w:val="0"/>
                  <w:color w:val="auto"/>
                  <w:sz w:val="32"/>
                  <w:szCs w:val="32"/>
                  <w:lang w:val="zh-CN"/>
                </w:rPr>
              </w:pPr>
            </w:p>
            <w:p w14:paraId="28DAAD6F">
              <w:pPr>
                <w:pStyle w:val="30"/>
                <w:tabs>
                  <w:tab w:val="right" w:leader="dot" w:pos="9001"/>
                </w:tabs>
                <w:rPr>
                  <w:rFonts w:ascii="Times New Roman" w:hAnsi="Times New Roman" w:eastAsia="方正仿宋_GBK" w:cs="Times New Roman"/>
                  <w:b w:val="0"/>
                  <w:caps w:val="0"/>
                  <w:color w:val="auto"/>
                  <w:sz w:val="32"/>
                  <w:szCs w:val="32"/>
                </w:rPr>
              </w:pPr>
              <w:r>
                <w:rPr>
                  <w:color w:val="auto"/>
                </w:rPr>
                <w:fldChar w:fldCharType="begin"/>
              </w:r>
              <w:r>
                <w:rPr>
                  <w:color w:val="auto"/>
                </w:rPr>
                <w:instrText xml:space="preserve"> HYPERLINK \l "_Toc26872" </w:instrText>
              </w:r>
              <w:r>
                <w:rPr>
                  <w:color w:val="auto"/>
                </w:rPr>
                <w:fldChar w:fldCharType="separate"/>
              </w:r>
              <w:r>
                <w:rPr>
                  <w:rFonts w:hint="eastAsia" w:ascii="Times New Roman" w:hAnsi="Times New Roman" w:eastAsia="方正仿宋_GBK" w:cs="Times New Roman"/>
                  <w:b w:val="0"/>
                  <w:caps w:val="0"/>
                  <w:color w:val="auto"/>
                  <w:sz w:val="32"/>
                  <w:szCs w:val="32"/>
                </w:rPr>
                <w:t>第四章 评标原则</w:t>
              </w:r>
              <w:r>
                <w:rPr>
                  <w:rFonts w:hint="eastAsia" w:ascii="Times New Roman" w:hAnsi="Times New Roman" w:eastAsia="方正仿宋_GBK" w:cs="Times New Roman"/>
                  <w:b w:val="0"/>
                  <w:caps w:val="0"/>
                  <w:color w:val="auto"/>
                  <w:sz w:val="32"/>
                  <w:szCs w:val="32"/>
                </w:rPr>
                <w:tab/>
              </w:r>
              <w:r>
                <w:rPr>
                  <w:rFonts w:hint="eastAsia" w:ascii="Times New Roman" w:hAnsi="Times New Roman" w:eastAsia="方正仿宋_GBK" w:cs="Times New Roman"/>
                  <w:b w:val="0"/>
                  <w:caps w:val="0"/>
                  <w:color w:val="auto"/>
                  <w:sz w:val="32"/>
                  <w:szCs w:val="32"/>
                </w:rPr>
                <w:fldChar w:fldCharType="begin"/>
              </w:r>
              <w:r>
                <w:rPr>
                  <w:rFonts w:hint="eastAsia" w:ascii="Times New Roman" w:hAnsi="Times New Roman" w:eastAsia="方正仿宋_GBK" w:cs="Times New Roman"/>
                  <w:b w:val="0"/>
                  <w:caps w:val="0"/>
                  <w:color w:val="auto"/>
                  <w:sz w:val="32"/>
                  <w:szCs w:val="32"/>
                </w:rPr>
                <w:instrText xml:space="preserve"> PAGEREF _Toc26872 \h </w:instrText>
              </w:r>
              <w:r>
                <w:rPr>
                  <w:rFonts w:hint="eastAsia" w:ascii="Times New Roman" w:hAnsi="Times New Roman" w:eastAsia="方正仿宋_GBK" w:cs="Times New Roman"/>
                  <w:b w:val="0"/>
                  <w:caps w:val="0"/>
                  <w:color w:val="auto"/>
                  <w:sz w:val="32"/>
                  <w:szCs w:val="32"/>
                </w:rPr>
                <w:fldChar w:fldCharType="separate"/>
              </w:r>
              <w:r>
                <w:rPr>
                  <w:rFonts w:hint="eastAsia" w:ascii="Times New Roman" w:hAnsi="Times New Roman" w:eastAsia="方正仿宋_GBK" w:cs="Times New Roman"/>
                  <w:b w:val="0"/>
                  <w:caps w:val="0"/>
                  <w:color w:val="auto"/>
                  <w:sz w:val="32"/>
                  <w:szCs w:val="32"/>
                </w:rPr>
                <w:t>18</w:t>
              </w:r>
              <w:r>
                <w:rPr>
                  <w:rFonts w:hint="eastAsia" w:ascii="Times New Roman" w:hAnsi="Times New Roman" w:eastAsia="方正仿宋_GBK" w:cs="Times New Roman"/>
                  <w:b w:val="0"/>
                  <w:caps w:val="0"/>
                  <w:color w:val="auto"/>
                  <w:sz w:val="32"/>
                  <w:szCs w:val="32"/>
                </w:rPr>
                <w:fldChar w:fldCharType="end"/>
              </w:r>
              <w:r>
                <w:rPr>
                  <w:rFonts w:hint="eastAsia" w:ascii="Times New Roman" w:hAnsi="Times New Roman" w:eastAsia="方正仿宋_GBK" w:cs="Times New Roman"/>
                  <w:b w:val="0"/>
                  <w:caps w:val="0"/>
                  <w:color w:val="auto"/>
                  <w:sz w:val="32"/>
                  <w:szCs w:val="32"/>
                </w:rPr>
                <w:fldChar w:fldCharType="end"/>
              </w:r>
            </w:p>
            <w:p w14:paraId="683C3A1D">
              <w:pPr>
                <w:pStyle w:val="30"/>
                <w:tabs>
                  <w:tab w:val="right" w:leader="dot" w:pos="9001"/>
                </w:tabs>
                <w:rPr>
                  <w:rFonts w:ascii="Times New Roman" w:hAnsi="Times New Roman" w:eastAsia="方正仿宋_GBK" w:cs="Times New Roman"/>
                  <w:b w:val="0"/>
                  <w:caps w:val="0"/>
                  <w:color w:val="auto"/>
                  <w:sz w:val="32"/>
                  <w:szCs w:val="32"/>
                  <w:lang w:val="zh-CN"/>
                </w:rPr>
              </w:pPr>
            </w:p>
            <w:p w14:paraId="698E4C9D">
              <w:pPr>
                <w:pStyle w:val="30"/>
                <w:tabs>
                  <w:tab w:val="right" w:leader="dot" w:pos="9001"/>
                </w:tabs>
                <w:rPr>
                  <w:rFonts w:ascii="Times New Roman" w:hAnsi="Times New Roman" w:eastAsia="方正仿宋_GBK" w:cs="Times New Roman"/>
                  <w:b w:val="0"/>
                  <w:caps w:val="0"/>
                  <w:color w:val="auto"/>
                  <w:sz w:val="32"/>
                  <w:szCs w:val="32"/>
                  <w:lang w:val="zh-CN"/>
                </w:rPr>
              </w:pPr>
            </w:p>
            <w:p w14:paraId="131E1A53">
              <w:pPr>
                <w:pStyle w:val="30"/>
                <w:tabs>
                  <w:tab w:val="right" w:leader="dot" w:pos="9001"/>
                </w:tabs>
                <w:rPr>
                  <w:rFonts w:ascii="Times New Roman" w:hAnsi="Times New Roman" w:eastAsia="方正仿宋_GBK" w:cs="Times New Roman"/>
                  <w:b w:val="0"/>
                  <w:caps w:val="0"/>
                  <w:color w:val="auto"/>
                  <w:sz w:val="32"/>
                  <w:szCs w:val="32"/>
                </w:rPr>
              </w:pPr>
              <w:r>
                <w:rPr>
                  <w:color w:val="auto"/>
                </w:rPr>
                <w:fldChar w:fldCharType="begin"/>
              </w:r>
              <w:r>
                <w:rPr>
                  <w:color w:val="auto"/>
                </w:rPr>
                <w:instrText xml:space="preserve"> HYPERLINK \l "_Toc14314" </w:instrText>
              </w:r>
              <w:r>
                <w:rPr>
                  <w:color w:val="auto"/>
                </w:rPr>
                <w:fldChar w:fldCharType="separate"/>
              </w:r>
              <w:r>
                <w:rPr>
                  <w:rFonts w:hint="eastAsia" w:ascii="Times New Roman" w:hAnsi="Times New Roman" w:eastAsia="方正仿宋_GBK" w:cs="Times New Roman"/>
                  <w:b w:val="0"/>
                  <w:caps w:val="0"/>
                  <w:color w:val="auto"/>
                  <w:sz w:val="32"/>
                  <w:szCs w:val="32"/>
                </w:rPr>
                <w:t>第五章 投标文件格式</w:t>
              </w:r>
              <w:r>
                <w:rPr>
                  <w:rFonts w:hint="eastAsia" w:ascii="Times New Roman" w:hAnsi="Times New Roman" w:eastAsia="方正仿宋_GBK" w:cs="Times New Roman"/>
                  <w:b w:val="0"/>
                  <w:caps w:val="0"/>
                  <w:color w:val="auto"/>
                  <w:sz w:val="32"/>
                  <w:szCs w:val="32"/>
                </w:rPr>
                <w:tab/>
              </w:r>
              <w:r>
                <w:rPr>
                  <w:rFonts w:hint="eastAsia" w:ascii="Times New Roman" w:hAnsi="Times New Roman" w:eastAsia="方正仿宋_GBK" w:cs="Times New Roman"/>
                  <w:b w:val="0"/>
                  <w:caps w:val="0"/>
                  <w:color w:val="auto"/>
                  <w:sz w:val="32"/>
                  <w:szCs w:val="32"/>
                </w:rPr>
                <w:fldChar w:fldCharType="begin"/>
              </w:r>
              <w:r>
                <w:rPr>
                  <w:rFonts w:hint="eastAsia" w:ascii="Times New Roman" w:hAnsi="Times New Roman" w:eastAsia="方正仿宋_GBK" w:cs="Times New Roman"/>
                  <w:b w:val="0"/>
                  <w:caps w:val="0"/>
                  <w:color w:val="auto"/>
                  <w:sz w:val="32"/>
                  <w:szCs w:val="32"/>
                </w:rPr>
                <w:instrText xml:space="preserve"> PAGEREF _Toc14314 \h </w:instrText>
              </w:r>
              <w:r>
                <w:rPr>
                  <w:rFonts w:hint="eastAsia" w:ascii="Times New Roman" w:hAnsi="Times New Roman" w:eastAsia="方正仿宋_GBK" w:cs="Times New Roman"/>
                  <w:b w:val="0"/>
                  <w:caps w:val="0"/>
                  <w:color w:val="auto"/>
                  <w:sz w:val="32"/>
                  <w:szCs w:val="32"/>
                </w:rPr>
                <w:fldChar w:fldCharType="separate"/>
              </w:r>
              <w:r>
                <w:rPr>
                  <w:rFonts w:hint="eastAsia" w:ascii="Times New Roman" w:hAnsi="Times New Roman" w:eastAsia="方正仿宋_GBK" w:cs="Times New Roman"/>
                  <w:b w:val="0"/>
                  <w:caps w:val="0"/>
                  <w:color w:val="auto"/>
                  <w:sz w:val="32"/>
                  <w:szCs w:val="32"/>
                </w:rPr>
                <w:t>23</w:t>
              </w:r>
              <w:r>
                <w:rPr>
                  <w:rFonts w:hint="eastAsia" w:ascii="Times New Roman" w:hAnsi="Times New Roman" w:eastAsia="方正仿宋_GBK" w:cs="Times New Roman"/>
                  <w:b w:val="0"/>
                  <w:caps w:val="0"/>
                  <w:color w:val="auto"/>
                  <w:sz w:val="32"/>
                  <w:szCs w:val="32"/>
                </w:rPr>
                <w:fldChar w:fldCharType="end"/>
              </w:r>
              <w:r>
                <w:rPr>
                  <w:rFonts w:hint="eastAsia" w:ascii="Times New Roman" w:hAnsi="Times New Roman" w:eastAsia="方正仿宋_GBK" w:cs="Times New Roman"/>
                  <w:b w:val="0"/>
                  <w:caps w:val="0"/>
                  <w:color w:val="auto"/>
                  <w:sz w:val="32"/>
                  <w:szCs w:val="32"/>
                </w:rPr>
                <w:fldChar w:fldCharType="end"/>
              </w:r>
            </w:p>
            <w:p w14:paraId="04E49C3A">
              <w:pPr>
                <w:pStyle w:val="30"/>
                <w:tabs>
                  <w:tab w:val="right" w:leader="dot" w:pos="9001"/>
                </w:tabs>
                <w:rPr>
                  <w:rFonts w:ascii="Times New Roman" w:hAnsi="Times New Roman" w:eastAsia="方正仿宋_GBK" w:cs="Times New Roman"/>
                  <w:b w:val="0"/>
                  <w:caps w:val="0"/>
                  <w:color w:val="auto"/>
                  <w:sz w:val="32"/>
                  <w:szCs w:val="32"/>
                </w:rPr>
              </w:pPr>
            </w:p>
            <w:p w14:paraId="514A07C7">
              <w:pPr>
                <w:rPr>
                  <w:rFonts w:ascii="Times New Roman" w:hAnsi="Times New Roman" w:eastAsia="方正黑体_GBK" w:cs="Times New Roman"/>
                  <w:b/>
                  <w:color w:val="auto"/>
                  <w:szCs w:val="24"/>
                </w:rPr>
              </w:pPr>
              <w:r>
                <w:rPr>
                  <w:rFonts w:hint="eastAsia" w:ascii="Times New Roman" w:hAnsi="Times New Roman" w:eastAsia="方正仿宋_GBK" w:cs="Times New Roman"/>
                  <w:color w:val="auto"/>
                  <w:sz w:val="32"/>
                  <w:szCs w:val="32"/>
                  <w:lang w:val="zh-CN"/>
                </w:rPr>
                <w:fldChar w:fldCharType="end"/>
              </w:r>
            </w:p>
          </w:sdtContent>
        </w:sdt>
      </w:sdtContent>
    </w:sdt>
    <w:p w14:paraId="20194BAA">
      <w:pPr>
        <w:pStyle w:val="2"/>
        <w:numPr>
          <w:ilvl w:val="0"/>
          <w:numId w:val="0"/>
        </w:numPr>
        <w:spacing w:before="0" w:after="0" w:line="440" w:lineRule="exact"/>
        <w:jc w:val="center"/>
        <w:rPr>
          <w:rFonts w:hint="eastAsia" w:ascii="方正小标宋_GBK" w:hAnsi="方正小标宋_GBK" w:eastAsia="方正小标宋_GBK" w:cs="方正小标宋_GBK"/>
          <w:b w:val="0"/>
          <w:bCs w:val="0"/>
          <w:color w:val="auto"/>
        </w:rPr>
      </w:pPr>
    </w:p>
    <w:p w14:paraId="05788198">
      <w:pPr>
        <w:rPr>
          <w:rFonts w:hint="eastAsia" w:ascii="方正小标宋_GBK" w:hAnsi="方正小标宋_GBK" w:eastAsia="方正小标宋_GBK" w:cs="方正小标宋_GBK"/>
          <w:color w:val="auto"/>
        </w:rPr>
      </w:pPr>
    </w:p>
    <w:p w14:paraId="7B10469C">
      <w:pPr>
        <w:rPr>
          <w:rFonts w:hint="eastAsia" w:ascii="方正小标宋_GBK" w:hAnsi="方正小标宋_GBK" w:eastAsia="方正小标宋_GBK" w:cs="方正小标宋_GBK"/>
          <w:color w:val="auto"/>
        </w:rPr>
      </w:pPr>
    </w:p>
    <w:p w14:paraId="3A71B6D3">
      <w:pPr>
        <w:rPr>
          <w:rFonts w:hint="eastAsia" w:ascii="方正小标宋_GBK" w:hAnsi="方正小标宋_GBK" w:eastAsia="方正小标宋_GBK" w:cs="方正小标宋_GBK"/>
          <w:color w:val="auto"/>
        </w:rPr>
      </w:pPr>
    </w:p>
    <w:p w14:paraId="377F82B6">
      <w:pPr>
        <w:rPr>
          <w:rFonts w:hint="eastAsia" w:ascii="方正小标宋_GBK" w:hAnsi="方正小标宋_GBK" w:eastAsia="方正小标宋_GBK" w:cs="方正小标宋_GBK"/>
          <w:color w:val="auto"/>
        </w:rPr>
      </w:pPr>
    </w:p>
    <w:p w14:paraId="31C65397">
      <w:pPr>
        <w:rPr>
          <w:rFonts w:hint="eastAsia" w:ascii="方正小标宋_GBK" w:hAnsi="方正小标宋_GBK" w:eastAsia="方正小标宋_GBK" w:cs="方正小标宋_GBK"/>
          <w:color w:val="auto"/>
        </w:rPr>
      </w:pPr>
    </w:p>
    <w:p w14:paraId="208188AC">
      <w:pPr>
        <w:rPr>
          <w:rFonts w:hint="eastAsia" w:ascii="方正小标宋_GBK" w:hAnsi="方正小标宋_GBK" w:eastAsia="方正小标宋_GBK" w:cs="方正小标宋_GBK"/>
          <w:color w:val="auto"/>
        </w:rPr>
      </w:pPr>
    </w:p>
    <w:p w14:paraId="2464E688">
      <w:pPr>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color w:val="auto"/>
        </w:rPr>
        <w:br w:type="page"/>
      </w:r>
    </w:p>
    <w:p w14:paraId="4DECC426">
      <w:pPr>
        <w:pStyle w:val="2"/>
        <w:numPr>
          <w:ilvl w:val="0"/>
          <w:numId w:val="0"/>
        </w:numPr>
        <w:jc w:val="center"/>
        <w:rPr>
          <w:color w:val="auto"/>
        </w:rPr>
      </w:pPr>
      <w:bookmarkStart w:id="0" w:name="_Toc24514"/>
      <w:r>
        <w:rPr>
          <w:rFonts w:hint="eastAsia"/>
          <w:color w:val="auto"/>
        </w:rPr>
        <w:t>第一章 招标公告</w:t>
      </w:r>
      <w:bookmarkEnd w:id="0"/>
    </w:p>
    <w:p w14:paraId="0F2DD05B">
      <w:pPr>
        <w:spacing w:line="440" w:lineRule="exact"/>
        <w:ind w:firstLine="480" w:firstLineChars="200"/>
        <w:rPr>
          <w:color w:val="auto"/>
        </w:rPr>
      </w:pPr>
    </w:p>
    <w:p w14:paraId="6B9EF1C5">
      <w:pPr>
        <w:spacing w:line="420" w:lineRule="exact"/>
        <w:ind w:firstLine="640" w:firstLineChars="200"/>
        <w:jc w:val="left"/>
        <w:rPr>
          <w:rFonts w:ascii="Times New Roman" w:hAnsi="Times New Roman" w:eastAsia="方正仿宋_GBK" w:cs="Times New Roman"/>
          <w:color w:val="auto"/>
          <w:sz w:val="32"/>
          <w:szCs w:val="32"/>
          <w:u w:val="single"/>
        </w:rPr>
      </w:pPr>
      <w:r>
        <w:rPr>
          <w:rFonts w:ascii="Times New Roman" w:hAnsi="Times New Roman" w:eastAsia="方正仿宋_GBK" w:cs="Times New Roman"/>
          <w:color w:val="auto"/>
          <w:sz w:val="32"/>
          <w:szCs w:val="32"/>
          <w:u w:val="single"/>
        </w:rPr>
        <w:t>重庆财经学院</w:t>
      </w:r>
      <w:r>
        <w:rPr>
          <w:rFonts w:ascii="Times New Roman" w:hAnsi="Times New Roman" w:eastAsia="方正仿宋_GBK" w:cs="Times New Roman"/>
          <w:color w:val="auto"/>
          <w:sz w:val="32"/>
          <w:szCs w:val="32"/>
        </w:rPr>
        <w:t>（采购人）拟对“</w:t>
      </w:r>
      <w:r>
        <w:rPr>
          <w:rFonts w:hint="eastAsia" w:ascii="Times New Roman" w:hAnsi="Times New Roman" w:eastAsia="方正仿宋_GBK" w:cs="Times New Roman"/>
          <w:color w:val="auto"/>
          <w:sz w:val="32"/>
          <w:szCs w:val="32"/>
          <w:u w:val="single"/>
        </w:rPr>
        <w:t>重庆财经学院智能车及物联网应用场景实验室建设采购项目</w:t>
      </w:r>
      <w:r>
        <w:rPr>
          <w:rFonts w:ascii="Times New Roman" w:hAnsi="Times New Roman" w:eastAsia="方正仿宋_GBK" w:cs="Times New Roman"/>
          <w:color w:val="auto"/>
          <w:sz w:val="32"/>
          <w:szCs w:val="32"/>
        </w:rPr>
        <w:t>”进行国内</w:t>
      </w:r>
      <w:r>
        <w:rPr>
          <w:rFonts w:hint="eastAsia" w:ascii="Times New Roman" w:hAnsi="Times New Roman" w:eastAsia="方正仿宋_GBK" w:cs="Times New Roman"/>
          <w:color w:val="auto"/>
          <w:sz w:val="32"/>
          <w:szCs w:val="32"/>
        </w:rPr>
        <w:t>挂网招标</w:t>
      </w:r>
      <w:r>
        <w:rPr>
          <w:rFonts w:ascii="Times New Roman" w:hAnsi="Times New Roman" w:eastAsia="方正仿宋_GBK" w:cs="Times New Roman"/>
          <w:color w:val="auto"/>
          <w:sz w:val="32"/>
          <w:szCs w:val="32"/>
        </w:rPr>
        <w:t>，兹邀请符合本次招标要求的供应商参加投标。</w:t>
      </w:r>
    </w:p>
    <w:p w14:paraId="4BAE140B">
      <w:pPr>
        <w:spacing w:line="380" w:lineRule="exact"/>
        <w:ind w:firstLine="640" w:firstLineChars="200"/>
        <w:rPr>
          <w:rFonts w:ascii="Times New Roman" w:hAnsi="Times New Roman" w:eastAsia="方正仿宋_GBK" w:cs="Times New Roman"/>
          <w:color w:val="auto"/>
          <w:sz w:val="32"/>
          <w:szCs w:val="32"/>
        </w:rPr>
      </w:pPr>
      <w:r>
        <w:rPr>
          <w:rFonts w:hint="eastAsia" w:ascii="方正楷体_GBK" w:hAnsi="方正楷体_GBK" w:eastAsia="方正楷体_GBK" w:cs="方正楷体_GBK"/>
          <w:b/>
          <w:bCs/>
          <w:color w:val="auto"/>
          <w:sz w:val="32"/>
          <w:szCs w:val="32"/>
        </w:rPr>
        <w:t>一、招标项目内容：</w:t>
      </w:r>
      <w:r>
        <w:rPr>
          <w:rFonts w:ascii="Times New Roman" w:hAnsi="Times New Roman" w:eastAsia="方正仿宋_GBK" w:cs="Times New Roman"/>
          <w:color w:val="auto"/>
          <w:sz w:val="32"/>
          <w:szCs w:val="32"/>
        </w:rPr>
        <w:t>（详见招标文件第三章 招标数量及参数要求）。</w:t>
      </w:r>
    </w:p>
    <w:p w14:paraId="7043BF09">
      <w:pPr>
        <w:spacing w:line="380" w:lineRule="exact"/>
        <w:ind w:firstLine="640" w:firstLineChars="200"/>
        <w:jc w:val="left"/>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内容的简介：采购集教学、实训、创新于一体的智能车实验室、物联网应用场景实验室和工科综合实验室，满足物联网工程、人工智能等专业《物联网系统设计与实现》、《智能控制系统综合实践》、《计算机视觉技术与应用》等核心课程的实操教学需求。</w:t>
      </w:r>
    </w:p>
    <w:p w14:paraId="7204C2B0">
      <w:pPr>
        <w:spacing w:line="380" w:lineRule="exact"/>
        <w:ind w:firstLine="640" w:firstLineChars="200"/>
        <w:jc w:val="left"/>
        <w:rPr>
          <w:rFonts w:ascii="Times New Roman" w:hAnsi="Times New Roman" w:eastAsia="方正仿宋_GBK" w:cs="Times New Roman"/>
          <w:color w:val="auto"/>
          <w:sz w:val="32"/>
          <w:szCs w:val="32"/>
        </w:rPr>
      </w:pPr>
    </w:p>
    <w:p w14:paraId="3BADD50C">
      <w:pPr>
        <w:spacing w:line="380" w:lineRule="exact"/>
        <w:ind w:firstLine="640" w:firstLineChars="200"/>
        <w:rPr>
          <w:rFonts w:ascii="Times New Roman" w:hAnsi="Times New Roman" w:eastAsia="方正仿宋_GBK" w:cs="Times New Roman"/>
          <w:color w:val="auto"/>
          <w:sz w:val="32"/>
          <w:szCs w:val="32"/>
        </w:rPr>
      </w:pPr>
      <w:r>
        <w:rPr>
          <w:rFonts w:hint="eastAsia" w:ascii="方正楷体_GBK" w:hAnsi="方正楷体_GBK" w:eastAsia="方正楷体_GBK" w:cs="方正楷体_GBK"/>
          <w:b/>
          <w:bCs/>
          <w:color w:val="auto"/>
          <w:sz w:val="32"/>
          <w:szCs w:val="32"/>
        </w:rPr>
        <w:t>二、资金来源</w:t>
      </w:r>
      <w:r>
        <w:rPr>
          <w:rFonts w:hint="eastAsia" w:ascii="Times New Roman" w:hAnsi="Times New Roman" w:eastAsia="方正仿宋_GBK" w:cs="Times New Roman"/>
          <w:b/>
          <w:bCs/>
          <w:color w:val="auto"/>
          <w:sz w:val="28"/>
          <w:szCs w:val="28"/>
        </w:rPr>
        <w:t>：</w:t>
      </w:r>
      <w:r>
        <w:rPr>
          <w:rFonts w:hint="eastAsia" w:ascii="Times New Roman" w:hAnsi="Times New Roman" w:eastAsia="方正仿宋_GBK" w:cs="Times New Roman"/>
          <w:color w:val="auto"/>
          <w:sz w:val="32"/>
          <w:szCs w:val="32"/>
        </w:rPr>
        <w:t>预算资金。</w:t>
      </w:r>
    </w:p>
    <w:p w14:paraId="16D2F19F">
      <w:pPr>
        <w:spacing w:line="380" w:lineRule="exact"/>
        <w:rPr>
          <w:rFonts w:ascii="Times New Roman" w:hAnsi="Times New Roman" w:eastAsia="方正仿宋_GBK" w:cs="Times New Roman"/>
          <w:color w:val="auto"/>
          <w:sz w:val="32"/>
          <w:szCs w:val="32"/>
        </w:rPr>
      </w:pPr>
    </w:p>
    <w:p w14:paraId="358C2672">
      <w:pPr>
        <w:spacing w:line="380" w:lineRule="exact"/>
        <w:ind w:firstLine="640" w:firstLineChars="200"/>
        <w:rPr>
          <w:rFonts w:hint="eastAsia" w:ascii="方正楷体_GBK" w:hAnsi="方正楷体_GBK" w:eastAsia="方正楷体_GBK" w:cs="方正楷体_GBK"/>
          <w:b/>
          <w:bCs/>
          <w:color w:val="auto"/>
          <w:sz w:val="32"/>
          <w:szCs w:val="32"/>
        </w:rPr>
      </w:pPr>
      <w:r>
        <w:rPr>
          <w:rFonts w:ascii="方正楷体_GBK" w:hAnsi="方正楷体_GBK" w:eastAsia="方正楷体_GBK" w:cs="方正楷体_GBK"/>
          <w:b/>
          <w:bCs/>
          <w:color w:val="auto"/>
          <w:sz w:val="32"/>
          <w:szCs w:val="32"/>
        </w:rPr>
        <w:t>三、</w:t>
      </w:r>
      <w:r>
        <w:rPr>
          <w:rFonts w:hint="eastAsia" w:ascii="方正楷体_GBK" w:hAnsi="方正楷体_GBK" w:eastAsia="方正楷体_GBK" w:cs="方正楷体_GBK"/>
          <w:b/>
          <w:bCs/>
          <w:color w:val="auto"/>
          <w:sz w:val="32"/>
          <w:szCs w:val="32"/>
        </w:rPr>
        <w:t>投标人资格要求</w:t>
      </w:r>
    </w:p>
    <w:p w14:paraId="5CABBA68">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1.投标人具有独立承担民事责任的能力，需提供营业执照等证明文件；</w:t>
      </w:r>
    </w:p>
    <w:p w14:paraId="431AFD33">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2.投标人具有良好的商业信誉和健全的财务会计制度，需提供近三年的财务报表；</w:t>
      </w:r>
    </w:p>
    <w:p w14:paraId="7D706A0F">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3.投标人具有依法缴纳税收和社会保障资金的良好记录；</w:t>
      </w:r>
    </w:p>
    <w:p w14:paraId="5CA1CE2A">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4.投标人具有履行合同所必需的专业技术能力；</w:t>
      </w:r>
    </w:p>
    <w:p w14:paraId="466EFFE4">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5.投标人参加政府采购活动前三年内，没有骗取中标行为，无不正当理由放弃中标（成交）行为，未进行过恶意投诉，在经营活动中没有违法、违规记录；</w:t>
      </w:r>
    </w:p>
    <w:p w14:paraId="2B5BB77B">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6.投标方具有5年（含）以上的经营时间，需提供2023年1月1日以来由投标人签署的相关项目合同复印件（单个合同金额至少30万元）及类似项目履约能力证明材料；</w:t>
      </w:r>
    </w:p>
    <w:p w14:paraId="789AA181">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7.投标人所供电子电气设备、嵌入式开发板及通信模块，须符合国家现行安全与技术标准（含GB/T相关要求），确保设备兼容性、运行稳定性及教学使用安全性。</w:t>
      </w:r>
    </w:p>
    <w:p w14:paraId="37CC34B9">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8.具有完善的质量保证和售后服务体系。</w:t>
      </w:r>
    </w:p>
    <w:p w14:paraId="300F812A">
      <w:pPr>
        <w:spacing w:line="380" w:lineRule="exact"/>
        <w:ind w:firstLine="640" w:firstLineChars="200"/>
        <w:rPr>
          <w:rFonts w:hint="eastAsia" w:ascii="方正楷体_GBK" w:hAnsi="方正楷体_GBK" w:eastAsia="方正楷体_GBK" w:cs="方正楷体_GBK"/>
          <w:b/>
          <w:bCs/>
          <w:color w:val="auto"/>
          <w:sz w:val="32"/>
          <w:szCs w:val="32"/>
        </w:rPr>
      </w:pPr>
      <w:r>
        <w:rPr>
          <w:rFonts w:ascii="方正楷体_GBK" w:hAnsi="方正楷体_GBK" w:eastAsia="方正楷体_GBK" w:cs="方正楷体_GBK"/>
          <w:b/>
          <w:bCs/>
          <w:color w:val="auto"/>
          <w:sz w:val="32"/>
          <w:szCs w:val="32"/>
        </w:rPr>
        <w:t>四、投标、开标有关说明</w:t>
      </w:r>
    </w:p>
    <w:p w14:paraId="5DDAE792">
      <w:pPr>
        <w:spacing w:line="380" w:lineRule="exact"/>
        <w:ind w:firstLine="640"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color w:val="auto"/>
          <w:sz w:val="32"/>
          <w:szCs w:val="32"/>
        </w:rPr>
        <w:t>（一）招标文件公告期限：</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 xml:space="preserve">6年7月9日至 </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6年7月13日。</w:t>
      </w:r>
    </w:p>
    <w:p w14:paraId="31F2B889">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（二）招标文件发售期限：同招标文件公告期限。</w:t>
      </w:r>
    </w:p>
    <w:p w14:paraId="479E3A35">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（三）招标文件发售地点：</w:t>
      </w:r>
    </w:p>
    <w:p w14:paraId="1C2BE650">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1.现场发售地址：重庆市巴南区龙洲湾尚文大道906号行政楼2420办公室。</w:t>
      </w:r>
    </w:p>
    <w:p w14:paraId="5B2F437B">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2.直接在学校官网下载招标文件。</w:t>
      </w:r>
    </w:p>
    <w:p w14:paraId="3F3CBD45">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（四）对招标文件的疑问提出时间（若有）：</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6年7月14日以内</w:t>
      </w:r>
      <w:r>
        <w:rPr>
          <w:rFonts w:hint="eastAsia" w:ascii="Times New Roman" w:hAnsi="Times New Roman" w:eastAsia="方正仿宋_GBK" w:cs="Times New Roman"/>
          <w:color w:val="auto"/>
          <w:sz w:val="32"/>
          <w:szCs w:val="32"/>
        </w:rPr>
        <w:t>。</w:t>
      </w:r>
    </w:p>
    <w:p w14:paraId="1835D603">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（五）投标截止时间、投标地点、开标时间：</w:t>
      </w:r>
      <w:r>
        <w:rPr>
          <w:rFonts w:ascii="Times New Roman" w:hAnsi="Times New Roman" w:eastAsia="方正仿宋_GBK" w:cs="Times New Roman"/>
          <w:color w:val="auto"/>
          <w:sz w:val="32"/>
          <w:szCs w:val="32"/>
        </w:rPr>
        <w:t>在重庆财经学院</w:t>
      </w:r>
      <w:r>
        <w:rPr>
          <w:rFonts w:hint="eastAsia" w:ascii="Times New Roman" w:hAnsi="Times New Roman" w:eastAsia="方正仿宋_GBK" w:cs="Times New Roman"/>
          <w:color w:val="auto"/>
          <w:sz w:val="32"/>
          <w:szCs w:val="32"/>
        </w:rPr>
        <w:t>官</w:t>
      </w:r>
      <w:r>
        <w:rPr>
          <w:rFonts w:ascii="Times New Roman" w:hAnsi="Times New Roman" w:eastAsia="方正仿宋_GBK" w:cs="Times New Roman"/>
          <w:color w:val="auto"/>
          <w:sz w:val="32"/>
          <w:szCs w:val="32"/>
        </w:rPr>
        <w:t>网上发布</w:t>
      </w:r>
      <w:r>
        <w:rPr>
          <w:rFonts w:hint="eastAsia" w:ascii="Times New Roman" w:hAnsi="Times New Roman" w:eastAsia="方正仿宋_GBK" w:cs="Times New Roman"/>
          <w:color w:val="auto"/>
          <w:sz w:val="32"/>
          <w:szCs w:val="32"/>
        </w:rPr>
        <w:t>投标截止时间公告</w:t>
      </w:r>
      <w:r>
        <w:rPr>
          <w:rFonts w:ascii="Times New Roman" w:hAnsi="Times New Roman" w:eastAsia="方正仿宋_GBK" w:cs="Times New Roman"/>
          <w:color w:val="auto"/>
          <w:sz w:val="32"/>
          <w:szCs w:val="32"/>
        </w:rPr>
        <w:t>。</w:t>
      </w:r>
    </w:p>
    <w:p w14:paraId="645FF1AD">
      <w:pPr>
        <w:spacing w:line="380" w:lineRule="exact"/>
        <w:ind w:firstLine="640" w:firstLineChars="200"/>
        <w:rPr>
          <w:rFonts w:ascii="Times New Roman" w:hAnsi="Times New Roman" w:eastAsia="方正仿宋_GBK" w:cs="Times New Roman"/>
          <w:color w:val="auto"/>
          <w:sz w:val="32"/>
          <w:szCs w:val="32"/>
        </w:rPr>
      </w:pPr>
    </w:p>
    <w:p w14:paraId="4FC769B7">
      <w:pPr>
        <w:spacing w:line="380" w:lineRule="exact"/>
        <w:ind w:firstLine="640" w:firstLineChars="200"/>
        <w:rPr>
          <w:rFonts w:hint="eastAsia" w:ascii="方正楷体_GBK" w:hAnsi="方正楷体_GBK" w:eastAsia="方正楷体_GBK" w:cs="方正楷体_GBK"/>
          <w:b/>
          <w:bCs/>
          <w:color w:val="auto"/>
          <w:sz w:val="32"/>
          <w:szCs w:val="32"/>
        </w:rPr>
      </w:pPr>
      <w:r>
        <w:rPr>
          <w:rFonts w:ascii="方正楷体_GBK" w:hAnsi="方正楷体_GBK" w:eastAsia="方正楷体_GBK" w:cs="方正楷体_GBK"/>
          <w:b/>
          <w:bCs/>
          <w:color w:val="auto"/>
          <w:sz w:val="32"/>
          <w:szCs w:val="32"/>
        </w:rPr>
        <w:t>五、招标文件购买费、投标保证金</w:t>
      </w:r>
      <w:r>
        <w:rPr>
          <w:rFonts w:hint="eastAsia" w:ascii="方正楷体_GBK" w:hAnsi="方正楷体_GBK" w:eastAsia="方正楷体_GBK" w:cs="方正楷体_GBK"/>
          <w:b/>
          <w:bCs/>
          <w:color w:val="auto"/>
          <w:sz w:val="32"/>
          <w:szCs w:val="32"/>
        </w:rPr>
        <w:t>、中标服务费</w:t>
      </w:r>
    </w:p>
    <w:p w14:paraId="302F7297">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w:t>
      </w:r>
      <w:r>
        <w:rPr>
          <w:rFonts w:ascii="Times New Roman" w:hAnsi="Times New Roman" w:eastAsia="方正仿宋_GBK" w:cs="Times New Roman"/>
          <w:color w:val="auto"/>
          <w:sz w:val="32"/>
          <w:szCs w:val="32"/>
        </w:rPr>
        <w:t>招标文件</w:t>
      </w:r>
      <w:r>
        <w:rPr>
          <w:rFonts w:hint="eastAsia" w:ascii="Times New Roman" w:hAnsi="Times New Roman" w:eastAsia="方正仿宋_GBK" w:cs="Times New Roman"/>
          <w:color w:val="auto"/>
          <w:sz w:val="32"/>
          <w:szCs w:val="32"/>
        </w:rPr>
        <w:t>购买费：人民币200元/份；</w:t>
      </w:r>
    </w:p>
    <w:p w14:paraId="274BCDEB">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报名费收费账户：1001010120010030105，重庆财经学院，农村商业银行重庆巴南支行。</w:t>
      </w:r>
    </w:p>
    <w:p w14:paraId="222779A7">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1.汇款的投标方须在付款凭证摘要/用途中填写</w:t>
      </w:r>
      <w:r>
        <w:rPr>
          <w:rFonts w:hint="eastAsia" w:ascii="Times New Roman" w:hAnsi="Times New Roman" w:eastAsia="方正仿宋_GBK" w:cs="Times New Roman"/>
          <w:color w:val="auto"/>
          <w:sz w:val="32"/>
          <w:szCs w:val="32"/>
          <w:u w:val="single"/>
        </w:rPr>
        <w:t>“重庆财经学院智能车及物联网应用场景实验室建设采购项目招标文件购买费”</w:t>
      </w:r>
      <w:r>
        <w:rPr>
          <w:rFonts w:hint="eastAsia" w:ascii="Times New Roman" w:hAnsi="Times New Roman" w:eastAsia="方正仿宋_GBK" w:cs="Times New Roman"/>
          <w:color w:val="auto"/>
          <w:sz w:val="32"/>
          <w:szCs w:val="32"/>
        </w:rPr>
        <w:t>，并在投标文件最后附纸质的转账凭证复印件。</w:t>
      </w:r>
    </w:p>
    <w:p w14:paraId="5F72C7DE">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2.汇款截止时间：同招标文件公告截止日期。</w:t>
      </w:r>
    </w:p>
    <w:p w14:paraId="516A856F">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供应商在银行转账（电汇）时，须充分考虑银行转账（电汇）的时间差风险，如同城转账、异地转账或汇款、跨行转账或电汇的时间要求。</w:t>
      </w:r>
    </w:p>
    <w:p w14:paraId="7E8DE1D7">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3.汇款方请在投标截止时间公告日前，及时将缴费记录截图、公司名称、项目负责人姓名、联系电话以邮件发送至1308772756@qq.com邮箱，以便于及时为其开具收款凭证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color w:val="auto"/>
          <w:sz w:val="32"/>
          <w:szCs w:val="32"/>
        </w:rPr>
        <w:t>。</w:t>
      </w:r>
    </w:p>
    <w:p w14:paraId="241DF23D">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（二）投标保证金</w:t>
      </w:r>
    </w:p>
    <w:p w14:paraId="2BE2CED3">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投标人应以现金的形式提供人民币</w:t>
      </w:r>
      <w:r>
        <w:rPr>
          <w:rFonts w:hint="eastAsia" w:ascii="Times New Roman" w:hAnsi="Times New Roman" w:eastAsia="方正仿宋_GBK" w:cs="Times New Roman"/>
          <w:color w:val="auto"/>
          <w:sz w:val="32"/>
          <w:szCs w:val="32"/>
          <w:u w:val="single"/>
        </w:rPr>
        <w:t>10000元（大写壹万元）</w:t>
      </w:r>
      <w:r>
        <w:rPr>
          <w:rFonts w:hint="eastAsia" w:ascii="Times New Roman" w:hAnsi="Times New Roman" w:eastAsia="方正仿宋_GBK" w:cs="Times New Roman"/>
          <w:color w:val="auto"/>
          <w:sz w:val="32"/>
          <w:szCs w:val="32"/>
        </w:rPr>
        <w:t>的投标保证金，投标保证金以信封密封加盖单位公章，并注明单位名称。</w:t>
      </w:r>
    </w:p>
    <w:p w14:paraId="37254520">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非中标人的投标人保证金，现场退还；中标人与采购人签订合同后，投标保证金自动转为履约保证金，多退少补。</w:t>
      </w:r>
    </w:p>
    <w:p w14:paraId="2BD9B99D">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（三）中标服务费</w:t>
      </w:r>
    </w:p>
    <w:p w14:paraId="5AB27F78">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4E3F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0CD10AB8">
            <w:pPr>
              <w:pStyle w:val="41"/>
              <w:spacing w:line="380" w:lineRule="exact"/>
              <w:ind w:firstLine="0" w:firstLineChars="0"/>
              <w:jc w:val="center"/>
              <w:rPr>
                <w:color w:val="auto"/>
                <w:szCs w:val="24"/>
              </w:rPr>
            </w:pPr>
            <w:r>
              <w:rPr>
                <w:rFonts w:hint="eastAsia"/>
                <w:color w:val="auto"/>
                <w:szCs w:val="24"/>
              </w:rPr>
              <w:t>中标金额（万元）</w:t>
            </w:r>
          </w:p>
        </w:tc>
        <w:tc>
          <w:tcPr>
            <w:tcW w:w="4211" w:type="dxa"/>
          </w:tcPr>
          <w:p w14:paraId="4A94EC71">
            <w:pPr>
              <w:pStyle w:val="41"/>
              <w:spacing w:line="380" w:lineRule="exact"/>
              <w:ind w:firstLine="0" w:firstLineChars="0"/>
              <w:jc w:val="center"/>
              <w:rPr>
                <w:color w:val="auto"/>
                <w:szCs w:val="24"/>
              </w:rPr>
            </w:pPr>
            <w:r>
              <w:rPr>
                <w:rFonts w:hint="eastAsia"/>
                <w:color w:val="auto"/>
                <w:szCs w:val="24"/>
              </w:rPr>
              <w:t>费率（%）</w:t>
            </w:r>
          </w:p>
        </w:tc>
      </w:tr>
      <w:tr w14:paraId="3D2D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74923F3D">
            <w:pPr>
              <w:pStyle w:val="41"/>
              <w:spacing w:line="380" w:lineRule="exact"/>
              <w:ind w:firstLine="0" w:firstLineChars="0"/>
              <w:jc w:val="center"/>
              <w:rPr>
                <w:color w:val="auto"/>
                <w:szCs w:val="24"/>
              </w:rPr>
            </w:pPr>
            <w:r>
              <w:rPr>
                <w:rFonts w:hint="eastAsia"/>
                <w:color w:val="auto"/>
                <w:szCs w:val="24"/>
              </w:rPr>
              <w:t>100以下</w:t>
            </w:r>
          </w:p>
        </w:tc>
        <w:tc>
          <w:tcPr>
            <w:tcW w:w="4211" w:type="dxa"/>
          </w:tcPr>
          <w:p w14:paraId="2991105B">
            <w:pPr>
              <w:pStyle w:val="41"/>
              <w:spacing w:line="380" w:lineRule="exact"/>
              <w:ind w:firstLine="0" w:firstLineChars="0"/>
              <w:jc w:val="center"/>
              <w:rPr>
                <w:color w:val="auto"/>
                <w:szCs w:val="24"/>
              </w:rPr>
            </w:pPr>
            <w:r>
              <w:rPr>
                <w:rFonts w:hint="eastAsia"/>
                <w:color w:val="auto"/>
                <w:szCs w:val="24"/>
              </w:rPr>
              <w:t>1.5</w:t>
            </w:r>
          </w:p>
        </w:tc>
      </w:tr>
      <w:tr w14:paraId="5A83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0B8A80A6">
            <w:pPr>
              <w:pStyle w:val="41"/>
              <w:spacing w:line="380" w:lineRule="exact"/>
              <w:ind w:firstLine="0" w:firstLineChars="0"/>
              <w:jc w:val="center"/>
              <w:rPr>
                <w:color w:val="auto"/>
                <w:szCs w:val="24"/>
              </w:rPr>
            </w:pPr>
            <w:r>
              <w:rPr>
                <w:rFonts w:hint="eastAsia"/>
                <w:color w:val="auto"/>
                <w:szCs w:val="24"/>
              </w:rPr>
              <w:t>100-500</w:t>
            </w:r>
          </w:p>
        </w:tc>
        <w:tc>
          <w:tcPr>
            <w:tcW w:w="4211" w:type="dxa"/>
          </w:tcPr>
          <w:p w14:paraId="5B760AA3">
            <w:pPr>
              <w:pStyle w:val="41"/>
              <w:spacing w:line="380" w:lineRule="exact"/>
              <w:ind w:firstLine="0" w:firstLineChars="0"/>
              <w:jc w:val="center"/>
              <w:rPr>
                <w:color w:val="auto"/>
                <w:szCs w:val="24"/>
              </w:rPr>
            </w:pPr>
            <w:r>
              <w:rPr>
                <w:rFonts w:hint="eastAsia"/>
                <w:color w:val="auto"/>
                <w:szCs w:val="24"/>
              </w:rPr>
              <w:t>1.1</w:t>
            </w:r>
          </w:p>
        </w:tc>
      </w:tr>
    </w:tbl>
    <w:p w14:paraId="6ECE463E">
      <w:pPr>
        <w:spacing w:line="380" w:lineRule="exact"/>
        <w:rPr>
          <w:rFonts w:ascii="Times New Roman" w:hAnsi="Times New Roman" w:eastAsia="方正仿宋_GBK" w:cs="Times New Roman"/>
          <w:b/>
          <w:bCs/>
          <w:color w:val="auto"/>
          <w:sz w:val="32"/>
          <w:szCs w:val="32"/>
        </w:rPr>
      </w:pPr>
    </w:p>
    <w:p w14:paraId="7A69A5C4">
      <w:pPr>
        <w:spacing w:line="380" w:lineRule="exact"/>
        <w:ind w:firstLine="640"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rPr>
        <w:t>六</w:t>
      </w:r>
      <w:r>
        <w:rPr>
          <w:rFonts w:ascii="Times New Roman" w:hAnsi="Times New Roman" w:eastAsia="方正仿宋_GBK" w:cs="Times New Roman"/>
          <w:b/>
          <w:bCs/>
          <w:color w:val="auto"/>
          <w:sz w:val="32"/>
          <w:szCs w:val="32"/>
        </w:rPr>
        <w:t xml:space="preserve">、投标有关规定 </w:t>
      </w:r>
    </w:p>
    <w:p w14:paraId="42094A1D">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（一）单位负责人为同一人或者存在直接控股、管理关系的不同投标人，不得参加同一合同项（包）下的采购活动。 </w:t>
      </w:r>
    </w:p>
    <w:p w14:paraId="796D0263">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（二）本项目招标文件公告、截标时间公告、澄清文件（若有）等一律在“重庆财经学院官网（http://www.cfec.edu.cn）上发布；无论投标人下载或领取与否，均视同投标人已知晓本项目的所有内容。 </w:t>
      </w:r>
    </w:p>
    <w:p w14:paraId="66019795">
      <w:pPr>
        <w:spacing w:line="380" w:lineRule="exact"/>
        <w:ind w:firstLine="640"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color w:val="auto"/>
          <w:sz w:val="32"/>
          <w:szCs w:val="32"/>
        </w:rPr>
        <w:t xml:space="preserve">（三）超过投标截止时间递交的投标文件，恕不接收。 </w:t>
      </w:r>
      <w:r>
        <w:rPr>
          <w:rFonts w:ascii="Times New Roman" w:hAnsi="Times New Roman" w:eastAsia="方正仿宋_GBK" w:cs="Times New Roman"/>
          <w:b/>
          <w:bCs/>
          <w:color w:val="auto"/>
          <w:sz w:val="32"/>
          <w:szCs w:val="32"/>
        </w:rPr>
        <w:t>本次招标不接受邮寄的投标文件。</w:t>
      </w:r>
    </w:p>
    <w:p w14:paraId="662126A3">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（四）投标费用：无论投标结果如何，投标人参与本项目投标的所有费用均应由投标人自行承担。投标资格不得转让 。</w:t>
      </w:r>
    </w:p>
    <w:p w14:paraId="20D4308E">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（五）本项目不接受联合体参与投标。 </w:t>
      </w:r>
    </w:p>
    <w:p w14:paraId="07577C4D">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（六）投标人列入失信被执行人、重大税收违法案件当事人名单、政府采购严重违法失信行为单位，将拒绝其参与本次采购活动。</w:t>
      </w:r>
    </w:p>
    <w:p w14:paraId="424838BD">
      <w:pPr>
        <w:spacing w:line="380" w:lineRule="exact"/>
        <w:ind w:firstLine="640" w:firstLineChars="200"/>
        <w:rPr>
          <w:rFonts w:ascii="Times New Roman" w:hAnsi="Times New Roman" w:eastAsia="方正仿宋_GBK" w:cs="Times New Roman"/>
          <w:color w:val="auto"/>
          <w:sz w:val="32"/>
          <w:szCs w:val="32"/>
        </w:rPr>
      </w:pPr>
    </w:p>
    <w:p w14:paraId="67B58F49">
      <w:pPr>
        <w:spacing w:line="380" w:lineRule="exact"/>
        <w:ind w:firstLine="640"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rPr>
        <w:t>七、现场勘察</w:t>
      </w:r>
    </w:p>
    <w:p w14:paraId="3B46E18D">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投标人需自行进行现场实地勘察。招标文件中的项目内容仅为校方提供的参考材料，投标人应基于现场勘察结果进行报价。报名即视为投标人已完成现场勘察，后续所有相关问题由其自行承担。 </w:t>
      </w:r>
    </w:p>
    <w:p w14:paraId="2947A5A2">
      <w:pPr>
        <w:spacing w:line="38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勘察地点:重庆财经学院融云楼</w:t>
      </w:r>
      <w:r>
        <w:rPr>
          <w:rFonts w:ascii="Times New Roman" w:hAnsi="Times New Roman" w:eastAsia="方正仿宋_GBK" w:cs="Times New Roman"/>
          <w:color w:val="auto"/>
          <w:sz w:val="32"/>
          <w:szCs w:val="32"/>
        </w:rPr>
        <w:t>307</w:t>
      </w:r>
      <w:r>
        <w:rPr>
          <w:rFonts w:hint="eastAsia" w:ascii="Times New Roman" w:hAnsi="Times New Roman" w:eastAsia="方正仿宋_GBK" w:cs="Times New Roman"/>
          <w:color w:val="auto"/>
          <w:sz w:val="32"/>
          <w:szCs w:val="32"/>
        </w:rPr>
        <w:t>教室；融云楼</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楼智慧教室</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融云楼</w:t>
      </w:r>
      <w:r>
        <w:rPr>
          <w:rFonts w:ascii="Times New Roman" w:hAnsi="Times New Roman" w:eastAsia="方正仿宋_GBK" w:cs="Times New Roman"/>
          <w:color w:val="auto"/>
          <w:sz w:val="32"/>
          <w:szCs w:val="32"/>
        </w:rPr>
        <w:t>306</w:t>
      </w:r>
      <w:r>
        <w:rPr>
          <w:rFonts w:hint="eastAsia" w:ascii="Times New Roman" w:hAnsi="Times New Roman" w:eastAsia="方正仿宋_GBK" w:cs="Times New Roman"/>
          <w:color w:val="auto"/>
          <w:sz w:val="32"/>
          <w:szCs w:val="32"/>
        </w:rPr>
        <w:t>教室</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 xml:space="preserve"> 重庆财经学院</w:t>
      </w:r>
      <w:r>
        <w:rPr>
          <w:rFonts w:hint="eastAsia" w:ascii="Times New Roman" w:hAnsi="Times New Roman" w:eastAsia="方正仿宋_GBK" w:cs="Times New Roman"/>
          <w:color w:val="auto"/>
          <w:sz w:val="32"/>
          <w:szCs w:val="32"/>
          <w:lang w:val="en-US" w:eastAsia="zh-CN"/>
        </w:rPr>
        <w:t>主校区教学楼1108教室。</w:t>
      </w:r>
    </w:p>
    <w:p w14:paraId="3CA9EF4D">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勘察联系人：柏老师，电话：13032361528</w:t>
      </w:r>
    </w:p>
    <w:p w14:paraId="5E4E2055">
      <w:pPr>
        <w:spacing w:line="380" w:lineRule="exact"/>
        <w:ind w:firstLine="640" w:firstLineChars="200"/>
        <w:rPr>
          <w:rFonts w:ascii="Times New Roman" w:hAnsi="Times New Roman" w:eastAsia="方正仿宋_GBK" w:cs="Times New Roman"/>
          <w:color w:val="auto"/>
          <w:sz w:val="32"/>
          <w:szCs w:val="32"/>
        </w:rPr>
      </w:pPr>
    </w:p>
    <w:p w14:paraId="763B4207">
      <w:pPr>
        <w:spacing w:line="380" w:lineRule="exact"/>
        <w:ind w:firstLine="640"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rPr>
        <w:t>八、联系方式（收件地址）</w:t>
      </w:r>
    </w:p>
    <w:p w14:paraId="5A610EFC">
      <w:pPr>
        <w:spacing w:line="38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联系人：</w:t>
      </w:r>
      <w:r>
        <w:rPr>
          <w:rFonts w:hint="eastAsia" w:ascii="Times New Roman" w:hAnsi="Times New Roman" w:eastAsia="方正仿宋_GBK" w:cs="Times New Roman"/>
          <w:color w:val="auto"/>
          <w:sz w:val="32"/>
          <w:szCs w:val="32"/>
        </w:rPr>
        <w:t>朱</w:t>
      </w:r>
      <w:r>
        <w:rPr>
          <w:rFonts w:ascii="Times New Roman" w:hAnsi="Times New Roman" w:eastAsia="方正仿宋_GBK" w:cs="Times New Roman"/>
          <w:color w:val="auto"/>
          <w:sz w:val="32"/>
          <w:szCs w:val="32"/>
        </w:rPr>
        <w:t xml:space="preserve">老师   </w:t>
      </w:r>
    </w:p>
    <w:p w14:paraId="5888D0E8">
      <w:pPr>
        <w:spacing w:line="38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联系电话：</w:t>
      </w:r>
      <w:r>
        <w:rPr>
          <w:rFonts w:hint="eastAsia" w:ascii="Times New Roman" w:hAnsi="Times New Roman" w:eastAsia="方正仿宋_GBK" w:cs="Times New Roman"/>
          <w:color w:val="auto"/>
          <w:sz w:val="32"/>
          <w:szCs w:val="32"/>
        </w:rPr>
        <w:t>023-</w:t>
      </w:r>
      <w:r>
        <w:rPr>
          <w:rFonts w:ascii="Times New Roman" w:hAnsi="Times New Roman" w:eastAsia="方正仿宋_GBK" w:cs="Times New Roman"/>
          <w:color w:val="auto"/>
          <w:sz w:val="32"/>
          <w:szCs w:val="32"/>
        </w:rPr>
        <w:t>88968</w:t>
      </w:r>
      <w:r>
        <w:rPr>
          <w:rFonts w:hint="eastAsia" w:ascii="Times New Roman" w:hAnsi="Times New Roman" w:eastAsia="方正仿宋_GBK" w:cs="Times New Roman"/>
          <w:color w:val="auto"/>
          <w:sz w:val="32"/>
          <w:szCs w:val="32"/>
        </w:rPr>
        <w:t>736</w:t>
      </w:r>
    </w:p>
    <w:p w14:paraId="13C33BAF">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技术咨询：柏老师，电话：13032361528</w:t>
      </w:r>
    </w:p>
    <w:p w14:paraId="43D57587">
      <w:pPr>
        <w:spacing w:line="38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招标人：重庆财经学院</w:t>
      </w:r>
    </w:p>
    <w:p w14:paraId="6F0A846C">
      <w:pPr>
        <w:spacing w:line="38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地址：重庆市巴南区龙洲湾尚文大道906号</w:t>
      </w:r>
      <w:r>
        <w:rPr>
          <w:rFonts w:hint="eastAsia" w:ascii="Times New Roman" w:hAnsi="Times New Roman" w:eastAsia="方正仿宋_GBK" w:cs="Times New Roman"/>
          <w:color w:val="auto"/>
          <w:sz w:val="32"/>
          <w:szCs w:val="32"/>
        </w:rPr>
        <w:t>行政楼2420后勤处。</w:t>
      </w:r>
    </w:p>
    <w:p w14:paraId="01870EE9">
      <w:pPr>
        <w:rPr>
          <w:rFonts w:ascii="Times New Roman" w:hAnsi="Times New Roman" w:eastAsia="方正小标宋_GBK" w:cs="Times New Roman"/>
          <w:color w:val="auto"/>
        </w:rPr>
      </w:pPr>
      <w:bookmarkStart w:id="1" w:name="_Toc287607744"/>
      <w:bookmarkStart w:id="2" w:name="_Toc5074"/>
      <w:bookmarkStart w:id="3" w:name="_Toc484637073"/>
      <w:bookmarkStart w:id="4" w:name="_Toc224103315"/>
      <w:bookmarkStart w:id="5" w:name="_Toc481694468"/>
      <w:bookmarkStart w:id="6" w:name="_Toc30163"/>
    </w:p>
    <w:p w14:paraId="3553B4DF">
      <w:pPr>
        <w:pStyle w:val="2"/>
        <w:numPr>
          <w:ilvl w:val="0"/>
          <w:numId w:val="0"/>
        </w:numPr>
        <w:spacing w:before="0" w:after="0" w:line="520" w:lineRule="exact"/>
        <w:ind w:left="432"/>
        <w:jc w:val="center"/>
        <w:rPr>
          <w:rFonts w:ascii="Times New Roman" w:hAnsi="Times New Roman" w:eastAsia="方正小标宋_GBK" w:cs="Times New Roman"/>
          <w:color w:val="auto"/>
        </w:rPr>
      </w:pPr>
      <w:r>
        <w:rPr>
          <w:rFonts w:ascii="Times New Roman" w:hAnsi="Times New Roman" w:eastAsia="方正小标宋_GBK" w:cs="Times New Roman"/>
          <w:color w:val="auto"/>
        </w:rPr>
        <w:t>第二章 投标人</w:t>
      </w:r>
      <w:r>
        <w:rPr>
          <w:rFonts w:hint="eastAsia" w:ascii="Times New Roman" w:hAnsi="Times New Roman" w:eastAsia="方正小标宋_GBK" w:cs="Times New Roman"/>
          <w:color w:val="auto"/>
        </w:rPr>
        <w:t>须</w:t>
      </w:r>
      <w:r>
        <w:rPr>
          <w:rFonts w:ascii="Times New Roman" w:hAnsi="Times New Roman" w:eastAsia="方正小标宋_GBK" w:cs="Times New Roman"/>
          <w:color w:val="auto"/>
        </w:rPr>
        <w:t>知</w:t>
      </w:r>
      <w:bookmarkEnd w:id="1"/>
      <w:bookmarkEnd w:id="2"/>
      <w:bookmarkEnd w:id="3"/>
      <w:bookmarkEnd w:id="4"/>
      <w:bookmarkEnd w:id="5"/>
      <w:bookmarkEnd w:id="6"/>
    </w:p>
    <w:p w14:paraId="674E99A4">
      <w:pPr>
        <w:rPr>
          <w:rFonts w:ascii="Times New Roman" w:hAnsi="Times New Roman" w:cs="Times New Roman"/>
          <w:color w:val="auto"/>
        </w:rPr>
      </w:pPr>
    </w:p>
    <w:p w14:paraId="4D690A9F">
      <w:pPr>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（投标人</w:t>
      </w:r>
      <w:r>
        <w:rPr>
          <w:rFonts w:hint="eastAsia" w:ascii="Times New Roman" w:hAnsi="Times New Roman" w:eastAsia="方正仿宋_GBK" w:cs="Times New Roman"/>
          <w:color w:val="auto"/>
          <w:sz w:val="32"/>
          <w:szCs w:val="32"/>
        </w:rPr>
        <w:t>须知</w:t>
      </w:r>
      <w:r>
        <w:rPr>
          <w:rFonts w:ascii="Times New Roman" w:hAnsi="Times New Roman" w:eastAsia="方正仿宋_GBK" w:cs="Times New Roman"/>
          <w:color w:val="auto"/>
          <w:sz w:val="32"/>
          <w:szCs w:val="32"/>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355A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9566B">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34052CD9">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459662D7">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编  列  内  容</w:t>
            </w:r>
          </w:p>
        </w:tc>
      </w:tr>
      <w:tr w14:paraId="5499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7021D000">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5C35870F">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C8B3C6B">
            <w:pPr>
              <w:spacing w:line="400" w:lineRule="exact"/>
              <w:jc w:val="lef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重庆财经学院智能控制实验室设备采购项目</w:t>
            </w:r>
          </w:p>
        </w:tc>
      </w:tr>
      <w:tr w14:paraId="70BE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2A5DDC5">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039A256">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4E1599EE">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单位名称：重庆财经学院</w:t>
            </w:r>
          </w:p>
          <w:p w14:paraId="2DBF0D63">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地   址：重庆市巴南区龙洲湾尚文大道906号</w:t>
            </w:r>
          </w:p>
          <w:p w14:paraId="15716536">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联系人：</w:t>
            </w:r>
            <w:r>
              <w:rPr>
                <w:rFonts w:hint="eastAsia" w:ascii="Times New Roman" w:hAnsi="Times New Roman" w:eastAsia="方正仿宋_GBK" w:cs="Times New Roman"/>
                <w:color w:val="auto"/>
                <w:sz w:val="28"/>
                <w:szCs w:val="28"/>
              </w:rPr>
              <w:t>朱</w:t>
            </w:r>
            <w:r>
              <w:rPr>
                <w:rFonts w:ascii="Times New Roman" w:hAnsi="Times New Roman" w:eastAsia="方正仿宋_GBK" w:cs="Times New Roman"/>
                <w:color w:val="auto"/>
                <w:sz w:val="28"/>
                <w:szCs w:val="28"/>
              </w:rPr>
              <w:t xml:space="preserve">老师  </w:t>
            </w:r>
          </w:p>
          <w:p w14:paraId="3A447EB7">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电   话：88968</w:t>
            </w:r>
            <w:r>
              <w:rPr>
                <w:rFonts w:hint="eastAsia" w:ascii="Times New Roman" w:hAnsi="Times New Roman" w:eastAsia="方正仿宋_GBK" w:cs="Times New Roman"/>
                <w:color w:val="auto"/>
                <w:sz w:val="28"/>
                <w:szCs w:val="28"/>
              </w:rPr>
              <w:t>736</w:t>
            </w:r>
          </w:p>
        </w:tc>
      </w:tr>
      <w:tr w14:paraId="702F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C02DE4">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55AD5F2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728B834">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招标人自筹</w:t>
            </w:r>
          </w:p>
        </w:tc>
      </w:tr>
      <w:tr w14:paraId="62E7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A4EC11">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6B0147A0">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2B25C448">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 xml:space="preserve">详见招标文件第三章 </w:t>
            </w:r>
            <w:r>
              <w:rPr>
                <w:rFonts w:hint="eastAsia" w:ascii="Times New Roman" w:hAnsi="Times New Roman" w:eastAsia="方正仿宋_GBK" w:cs="Times New Roman"/>
                <w:color w:val="auto"/>
                <w:sz w:val="28"/>
                <w:szCs w:val="28"/>
              </w:rPr>
              <w:t>招标数量及参数要求</w:t>
            </w:r>
          </w:p>
        </w:tc>
      </w:tr>
      <w:tr w14:paraId="321A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F00953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0469BD4C">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交货</w:t>
            </w:r>
            <w:r>
              <w:rPr>
                <w:rFonts w:hint="eastAsia" w:ascii="Times New Roman" w:hAnsi="Times New Roman" w:eastAsia="方正仿宋_GBK" w:cs="Times New Roman"/>
                <w:color w:val="auto"/>
                <w:sz w:val="28"/>
                <w:szCs w:val="28"/>
              </w:rPr>
              <w:t>地点</w:t>
            </w:r>
          </w:p>
          <w:p w14:paraId="678FBD6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10616253">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1.交货</w:t>
            </w:r>
            <w:r>
              <w:rPr>
                <w:rFonts w:hint="eastAsia" w:ascii="Times New Roman" w:hAnsi="Times New Roman" w:eastAsia="方正仿宋_GBK" w:cs="Times New Roman"/>
                <w:color w:val="auto"/>
                <w:sz w:val="28"/>
                <w:szCs w:val="28"/>
              </w:rPr>
              <w:t>地点</w:t>
            </w:r>
            <w:r>
              <w:rPr>
                <w:rFonts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rPr>
              <w:t>(1)智能车实验室：融云楼307教室;</w:t>
            </w:r>
          </w:p>
          <w:p w14:paraId="0305B816">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 物联网场景应用实验室：融云楼1楼智慧教室;(3)工科综合实验室：融云楼306教室</w:t>
            </w:r>
            <w:r>
              <w:rPr>
                <w:rFonts w:ascii="Times New Roman" w:hAnsi="Times New Roman" w:eastAsia="方正仿宋_GBK" w:cs="Times New Roman"/>
                <w:color w:val="auto"/>
                <w:sz w:val="28"/>
                <w:szCs w:val="28"/>
              </w:rPr>
              <w:t>。</w:t>
            </w:r>
          </w:p>
          <w:p w14:paraId="0D73E4BC">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2.交货时间：</w:t>
            </w:r>
            <w:r>
              <w:rPr>
                <w:rFonts w:hint="eastAsia" w:ascii="Times New Roman" w:hAnsi="Times New Roman" w:eastAsia="方正仿宋_GBK" w:cs="Times New Roman"/>
                <w:color w:val="auto"/>
                <w:sz w:val="28"/>
                <w:szCs w:val="28"/>
              </w:rPr>
              <w:t>自学校发出中标通知书后30个工作日内，完成两个实验室的场地改造、设备供货、安装、调试、实验室搬迁与项目验收。</w:t>
            </w:r>
          </w:p>
        </w:tc>
      </w:tr>
      <w:tr w14:paraId="34C3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45139FBE">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1CE41D22">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763E646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1.附件、图纸及包装要求：所有设备按照制造商规定的产品包装和随机标准附件为准。</w:t>
            </w:r>
          </w:p>
          <w:p w14:paraId="529EFFC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w:t>
            </w:r>
            <w:r>
              <w:rPr>
                <w:rFonts w:ascii="Times New Roman" w:hAnsi="Times New Roman" w:eastAsia="方正仿宋_GBK" w:cs="Times New Roman"/>
                <w:color w:val="auto"/>
                <w:sz w:val="28"/>
                <w:szCs w:val="28"/>
              </w:rPr>
              <w:t>‌技术文件提交‌：提供中文技术文件</w:t>
            </w:r>
            <w:r>
              <w:rPr>
                <w:rFonts w:hint="eastAsia" w:ascii="Times New Roman" w:hAnsi="Times New Roman" w:eastAsia="方正仿宋_GBK" w:cs="Times New Roman"/>
                <w:color w:val="auto"/>
                <w:sz w:val="28"/>
                <w:szCs w:val="28"/>
              </w:rPr>
              <w:t>，包括但不限于</w:t>
            </w:r>
            <w:r>
              <w:rPr>
                <w:rFonts w:ascii="Times New Roman" w:hAnsi="Times New Roman" w:eastAsia="方正仿宋_GBK" w:cs="Times New Roman"/>
                <w:color w:val="auto"/>
                <w:sz w:val="28"/>
                <w:szCs w:val="28"/>
              </w:rPr>
              <w:t>操作手册</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技术</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维护指南</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使用说明视频资料及电子版资料</w:t>
            </w:r>
            <w:r>
              <w:rPr>
                <w:rFonts w:hint="eastAsia" w:ascii="Times New Roman" w:hAnsi="Times New Roman" w:eastAsia="方正仿宋_GBK" w:cs="Times New Roman"/>
                <w:color w:val="auto"/>
                <w:sz w:val="28"/>
                <w:szCs w:val="28"/>
              </w:rPr>
              <w:t>等</w:t>
            </w:r>
            <w:r>
              <w:rPr>
                <w:rFonts w:ascii="Times New Roman" w:hAnsi="Times New Roman" w:eastAsia="方正仿宋_GBK" w:cs="Times New Roman"/>
                <w:color w:val="auto"/>
                <w:sz w:val="28"/>
                <w:szCs w:val="28"/>
              </w:rPr>
              <w:t>。</w:t>
            </w:r>
          </w:p>
          <w:p w14:paraId="38C7B4BC">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3.</w:t>
            </w:r>
            <w:r>
              <w:rPr>
                <w:rFonts w:ascii="Times New Roman" w:hAnsi="Times New Roman" w:eastAsia="方正仿宋_GBK" w:cs="Times New Roman"/>
                <w:color w:val="auto"/>
                <w:sz w:val="28"/>
                <w:szCs w:val="28"/>
              </w:rPr>
              <w:t>‌现场支持‌：包括设备安装、调试、启动监督及故障排除。</w:t>
            </w:r>
          </w:p>
          <w:p w14:paraId="606D6DA8">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4.</w:t>
            </w:r>
            <w:r>
              <w:rPr>
                <w:rFonts w:ascii="Times New Roman" w:hAnsi="Times New Roman" w:eastAsia="方正仿宋_GBK" w:cs="Times New Roman"/>
                <w:color w:val="auto"/>
                <w:sz w:val="28"/>
                <w:szCs w:val="28"/>
              </w:rPr>
              <w:t>‌培训服务‌：</w:t>
            </w:r>
            <w:r>
              <w:rPr>
                <w:rFonts w:hint="eastAsia" w:ascii="Times New Roman" w:hAnsi="Times New Roman" w:eastAsia="方正仿宋_GBK" w:cs="Times New Roman"/>
                <w:color w:val="auto"/>
                <w:sz w:val="28"/>
                <w:szCs w:val="28"/>
              </w:rPr>
              <w:t>（1）</w:t>
            </w:r>
            <w:r>
              <w:rPr>
                <w:rFonts w:ascii="Times New Roman" w:hAnsi="Times New Roman" w:eastAsia="方正仿宋_GBK" w:cs="Times New Roman"/>
                <w:color w:val="auto"/>
                <w:sz w:val="28"/>
                <w:szCs w:val="28"/>
              </w:rPr>
              <w:t>设备安装</w:t>
            </w:r>
            <w:r>
              <w:rPr>
                <w:rFonts w:hint="eastAsia" w:ascii="Times New Roman" w:hAnsi="Times New Roman" w:eastAsia="方正仿宋_GBK" w:cs="Times New Roman"/>
                <w:color w:val="auto"/>
                <w:sz w:val="28"/>
                <w:szCs w:val="28"/>
              </w:rPr>
              <w:t>调试完毕</w:t>
            </w:r>
            <w:r>
              <w:rPr>
                <w:rFonts w:ascii="Times New Roman" w:hAnsi="Times New Roman" w:eastAsia="方正仿宋_GBK" w:cs="Times New Roman"/>
                <w:color w:val="auto"/>
                <w:sz w:val="28"/>
                <w:szCs w:val="28"/>
              </w:rPr>
              <w:t>后对甲方操作人员</w:t>
            </w:r>
            <w:r>
              <w:rPr>
                <w:rFonts w:hint="eastAsia" w:ascii="Times New Roman" w:hAnsi="Times New Roman" w:eastAsia="方正仿宋_GBK" w:cs="Times New Roman"/>
                <w:color w:val="auto"/>
                <w:sz w:val="28"/>
                <w:szCs w:val="28"/>
              </w:rPr>
              <w:t>提供不少于8课时的免费</w:t>
            </w:r>
            <w:r>
              <w:rPr>
                <w:rFonts w:ascii="Times New Roman" w:hAnsi="Times New Roman" w:eastAsia="方正仿宋_GBK" w:cs="Times New Roman"/>
                <w:color w:val="auto"/>
                <w:sz w:val="28"/>
                <w:szCs w:val="28"/>
              </w:rPr>
              <w:t>设备操作培训，师资培训服务</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涵盖安全规范、编程基础、故障排查</w:t>
            </w:r>
            <w:r>
              <w:rPr>
                <w:rFonts w:hint="eastAsia" w:ascii="Times New Roman" w:hAnsi="Times New Roman" w:eastAsia="方正仿宋_GBK" w:cs="Times New Roman"/>
                <w:color w:val="auto"/>
                <w:sz w:val="28"/>
                <w:szCs w:val="28"/>
              </w:rPr>
              <w:t>等内容</w:t>
            </w:r>
            <w:r>
              <w:rPr>
                <w:rFonts w:ascii="Times New Roman" w:hAnsi="Times New Roman" w:eastAsia="方正仿宋_GBK" w:cs="Times New Roman"/>
                <w:color w:val="auto"/>
                <w:sz w:val="28"/>
                <w:szCs w:val="28"/>
              </w:rPr>
              <w:t>。</w:t>
            </w:r>
          </w:p>
          <w:p w14:paraId="6114AC4F">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w:t>
            </w:r>
            <w:r>
              <w:rPr>
                <w:rFonts w:ascii="Times New Roman" w:hAnsi="Times New Roman" w:eastAsia="方正仿宋_GBK" w:cs="Times New Roman"/>
                <w:color w:val="auto"/>
                <w:sz w:val="28"/>
                <w:szCs w:val="28"/>
              </w:rPr>
              <w:t>配合教学建设：配合课程组提供课程相关实验程序、教学案例库</w:t>
            </w:r>
            <w:r>
              <w:rPr>
                <w:rFonts w:hint="eastAsia" w:ascii="Times New Roman" w:hAnsi="Times New Roman" w:eastAsia="方正仿宋_GBK" w:cs="Times New Roman"/>
                <w:color w:val="auto"/>
                <w:sz w:val="28"/>
                <w:szCs w:val="28"/>
              </w:rPr>
              <w:t>。</w:t>
            </w:r>
          </w:p>
          <w:p w14:paraId="71232A36">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5.</w:t>
            </w:r>
            <w:r>
              <w:rPr>
                <w:rFonts w:ascii="Times New Roman" w:hAnsi="Times New Roman" w:eastAsia="方正仿宋_GBK" w:cs="Times New Roman"/>
                <w:color w:val="auto"/>
                <w:sz w:val="28"/>
                <w:szCs w:val="28"/>
              </w:rPr>
              <w:t>‌专用工具与备件‌：提供安装、维修所需的专用工具及随机备品备件。</w:t>
            </w:r>
          </w:p>
          <w:p w14:paraId="6D175FD0">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6.课程开发：可提供</w:t>
            </w:r>
            <w:r>
              <w:rPr>
                <w:rFonts w:ascii="Times New Roman" w:hAnsi="Times New Roman" w:eastAsia="方正仿宋_GBK" w:cs="Times New Roman"/>
                <w:color w:val="auto"/>
                <w:sz w:val="28"/>
                <w:szCs w:val="28"/>
              </w:rPr>
              <w:t>持续的课程开发</w:t>
            </w:r>
            <w:r>
              <w:rPr>
                <w:rFonts w:hint="eastAsia" w:ascii="Times New Roman" w:hAnsi="Times New Roman" w:eastAsia="方正仿宋_GBK" w:cs="Times New Roman"/>
                <w:color w:val="auto"/>
                <w:sz w:val="28"/>
                <w:szCs w:val="28"/>
              </w:rPr>
              <w:t>。</w:t>
            </w:r>
          </w:p>
        </w:tc>
      </w:tr>
      <w:tr w14:paraId="0A8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2C13F4">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0C0666B0">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6C9E28C1">
            <w:pPr>
              <w:numPr>
                <w:ilvl w:val="0"/>
                <w:numId w:val="10"/>
              </w:num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本项目所有设备、材料及施工工程的质量保证期为自项目最终验收合格之日起不少于1年，核心教学设备（智能车、物联网实验装置、高性能开发板等）质保期不少于1年。质保期内，中标方对所有质量问题承担免费维修或更换责任。</w:t>
            </w:r>
          </w:p>
        </w:tc>
      </w:tr>
      <w:tr w14:paraId="637C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3B2946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44F3668B">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参数</w:t>
            </w:r>
            <w:r>
              <w:rPr>
                <w:rFonts w:ascii="Times New Roman" w:hAnsi="Times New Roman" w:eastAsia="方正仿宋_GBK" w:cs="Times New Roman"/>
                <w:color w:val="auto"/>
                <w:sz w:val="28"/>
                <w:szCs w:val="28"/>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8B1AE66">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详见第三章</w:t>
            </w:r>
          </w:p>
        </w:tc>
      </w:tr>
      <w:tr w14:paraId="3EB7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346DFABC">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7A38D390">
            <w:pPr>
              <w:widowControl/>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售后服务</w:t>
            </w:r>
          </w:p>
        </w:tc>
        <w:tc>
          <w:tcPr>
            <w:tcW w:w="6092" w:type="dxa"/>
            <w:tcBorders>
              <w:top w:val="single" w:color="auto" w:sz="4" w:space="0"/>
              <w:left w:val="single" w:color="auto" w:sz="4" w:space="0"/>
              <w:bottom w:val="single" w:color="auto" w:sz="4" w:space="0"/>
              <w:right w:val="single" w:color="auto" w:sz="4" w:space="0"/>
            </w:tcBorders>
            <w:vAlign w:val="center"/>
          </w:tcPr>
          <w:p w14:paraId="71193046">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 提供7×24小时技术响应，2小时内响应故障报修，48小时内派员到达现场处理故障，一周内完成修复。维修更换的部件质保期重新计算。</w:t>
            </w:r>
          </w:p>
          <w:p w14:paraId="6E5DDC1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 提供全面的设备操作与课程培训，确保任课教师及实验室管理人员能熟练使用所有设备，并掌握配套实验项目的开展方法。</w:t>
            </w:r>
          </w:p>
          <w:p w14:paraId="21D18FDD">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3. 质保期后，提供成本价的维修、零部件更换及软件升级服务，并承诺持续提供教学资源更新支持。</w:t>
            </w:r>
          </w:p>
          <w:p w14:paraId="7F88D09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4. 每学期提供不少于一次的上门巡检、设备校准及系统维护服务，保障教学活动的连续性。</w:t>
            </w:r>
          </w:p>
        </w:tc>
      </w:tr>
      <w:tr w14:paraId="25D3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865" w:type="dxa"/>
            <w:tcBorders>
              <w:top w:val="single" w:color="auto" w:sz="4" w:space="0"/>
              <w:left w:val="single" w:color="auto" w:sz="4" w:space="0"/>
              <w:bottom w:val="single" w:color="auto" w:sz="4" w:space="0"/>
              <w:right w:val="single" w:color="auto" w:sz="4" w:space="0"/>
            </w:tcBorders>
            <w:vAlign w:val="center"/>
          </w:tcPr>
          <w:p w14:paraId="1D6D5BB5">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0763EB7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项目验收</w:t>
            </w:r>
          </w:p>
        </w:tc>
        <w:tc>
          <w:tcPr>
            <w:tcW w:w="6092" w:type="dxa"/>
            <w:tcBorders>
              <w:top w:val="single" w:color="auto" w:sz="4" w:space="0"/>
              <w:left w:val="single" w:color="auto" w:sz="4" w:space="0"/>
              <w:bottom w:val="single" w:color="auto" w:sz="4" w:space="0"/>
              <w:right w:val="single" w:color="auto" w:sz="4" w:space="0"/>
            </w:tcBorders>
          </w:tcPr>
          <w:p w14:paraId="1F4C5333">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（一）智能车实验室</w:t>
            </w:r>
          </w:p>
          <w:p w14:paraId="4E209CC0">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 设备到货后核对品牌、型号、数量、配件，与采购清单一致。</w:t>
            </w:r>
          </w:p>
          <w:p w14:paraId="542A47B1">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 完成全部智能车、赛道及配套软件的安装调试，所有智能车能够正常运行预设的演示程序。</w:t>
            </w:r>
          </w:p>
          <w:p w14:paraId="750D3840">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3. 微缩赛道功能正常，支持多种竞赛模式模拟，系统整体运行稳定，满足嵌入式开发与竞赛实训需求。</w:t>
            </w:r>
          </w:p>
          <w:p w14:paraId="1733DF1F">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（二）物联网场景应用实验室</w:t>
            </w:r>
          </w:p>
          <w:p w14:paraId="3C036315">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 设备验收： 所有设备现场开机测试，物联网工程应用实验装置的各功能模块（智慧家居、安防等）需能独立演示，技术指标符合招标要求。</w:t>
            </w:r>
          </w:p>
          <w:p w14:paraId="68FCE6A8">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 功能验收： 需现场演示一个完整的物联网应用项目（如智能家居场景联动），涵盖传感器数据采集、无线传输、云端处理及移动端控制的全流程，验证系统的教学适配性。</w:t>
            </w:r>
          </w:p>
          <w:p w14:paraId="4929A68E">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3. 集成验收： 两个实验室统一完成联合验收，检查实验室整体布局、强弱电布线、网络通信环境是否符合教学及安全规范，并出具整体验收报告。</w:t>
            </w:r>
          </w:p>
          <w:p w14:paraId="5DE7622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（三）工科综合实验室</w:t>
            </w:r>
          </w:p>
          <w:p w14:paraId="10ADB12A">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 设备验收： 所有设备在搬迁后无损坏，按照现场场管理人员要求摆放到位。搬迁过程中被拆卸、打包的器材设备需在新地点</w:t>
            </w:r>
            <w:r>
              <w:rPr>
                <w:rFonts w:hint="eastAsia" w:ascii="Times New Roman" w:hAnsi="Times New Roman" w:eastAsia="方正仿宋_GBK" w:cs="Times New Roman"/>
                <w:color w:val="auto"/>
                <w:sz w:val="28"/>
                <w:szCs w:val="28"/>
                <w:lang w:eastAsia="zh-CN"/>
              </w:rPr>
              <w:t>恢复</w:t>
            </w:r>
            <w:r>
              <w:rPr>
                <w:rFonts w:hint="eastAsia" w:ascii="Times New Roman" w:hAnsi="Times New Roman" w:eastAsia="方正仿宋_GBK" w:cs="Times New Roman"/>
                <w:color w:val="auto"/>
                <w:sz w:val="28"/>
                <w:szCs w:val="28"/>
              </w:rPr>
              <w:t>到搬迁前的状态。</w:t>
            </w:r>
          </w:p>
          <w:p w14:paraId="72724BCE">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 功能验收： 需现场测试实验桌椅、货架是否功能完整，安全性是否达标。</w:t>
            </w:r>
          </w:p>
        </w:tc>
      </w:tr>
      <w:tr w14:paraId="1871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F06397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1CD6C659">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76840870">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本项目招标实行资格后审，投标人应具备以下资格条件：</w:t>
            </w:r>
          </w:p>
          <w:p w14:paraId="4244B52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1.投标人具有独立承担民事责任的能力，需提供营业执照等证明文件；</w:t>
            </w:r>
          </w:p>
          <w:p w14:paraId="60E6C520">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2.投标人具有良好的商业信誉和健全的财务会计制度，需提供近三年的财务报表；</w:t>
            </w:r>
          </w:p>
          <w:p w14:paraId="102557A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3.投标人具有依法缴纳税收和社会保障资金的良好记录；</w:t>
            </w:r>
          </w:p>
          <w:p w14:paraId="03A0AB9D">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4.投标人具有履行合同所必需的专业技术能力；</w:t>
            </w:r>
          </w:p>
          <w:p w14:paraId="45E468DF">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5.投标人参加政府采购活动前三年内，没有骗取中标行为，无不正当理由放弃中标（成交）行为，未进行过恶意投诉，在经营活动中没有违法、违规记录；</w:t>
            </w:r>
          </w:p>
          <w:p w14:paraId="66980DBF">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6.投标方具有5年（含）以上的经营时间，需提供2023年1月1日以来由投标人签署的相关项目合同复印件（单个合同金额至少30万元）及类似项目履约能力证明材料；</w:t>
            </w:r>
          </w:p>
          <w:p w14:paraId="72545750">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7.投标人所供电子电气设备、嵌入式开发板及通信模块，须符合国家现行安全与技</w:t>
            </w:r>
            <w:bookmarkStart w:id="369" w:name="_GoBack"/>
            <w:bookmarkEnd w:id="369"/>
            <w:r>
              <w:rPr>
                <w:rFonts w:hint="eastAsia" w:ascii="Times New Roman" w:hAnsi="Times New Roman" w:eastAsia="方正仿宋_GBK" w:cs="Times New Roman"/>
                <w:color w:val="auto"/>
                <w:sz w:val="28"/>
                <w:szCs w:val="28"/>
              </w:rPr>
              <w:t>术标准（含GB/T相关要求），确保设备兼容性、运行稳定性及教学使用安全性。</w:t>
            </w:r>
          </w:p>
          <w:p w14:paraId="28A68CBA">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8.具有完善的质量保证和售后服务体系。</w:t>
            </w:r>
          </w:p>
        </w:tc>
      </w:tr>
      <w:tr w14:paraId="12BD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76F7AF9">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6ACD7F97">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68A4BB97">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不接受。</w:t>
            </w:r>
          </w:p>
        </w:tc>
      </w:tr>
      <w:tr w14:paraId="6730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91391C0">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4ECB34C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4B3F7A7">
            <w:pPr>
              <w:tabs>
                <w:tab w:val="center" w:pos="4153"/>
                <w:tab w:val="right" w:pos="8306"/>
              </w:tabs>
              <w:snapToGrid w:val="0"/>
              <w:spacing w:line="400" w:lineRule="exact"/>
              <w:jc w:val="lef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联系人：</w:t>
            </w:r>
            <w:r>
              <w:rPr>
                <w:rFonts w:hint="eastAsia" w:ascii="Times New Roman" w:hAnsi="Times New Roman" w:eastAsia="方正仿宋_GBK" w:cs="Times New Roman"/>
                <w:color w:val="auto"/>
                <w:sz w:val="28"/>
                <w:szCs w:val="28"/>
              </w:rPr>
              <w:t>朱老师（023-88968736）</w:t>
            </w:r>
          </w:p>
        </w:tc>
      </w:tr>
      <w:tr w14:paraId="469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FA51212">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0AB30FA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126BA48D">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不召开</w:t>
            </w:r>
          </w:p>
        </w:tc>
      </w:tr>
      <w:tr w14:paraId="5486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47413F">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A9EE3AE">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是否允许</w:t>
            </w:r>
          </w:p>
          <w:p w14:paraId="2C91633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609879D1">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否</w:t>
            </w:r>
          </w:p>
        </w:tc>
      </w:tr>
      <w:tr w14:paraId="342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99DE5A0">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2.1</w:t>
            </w:r>
          </w:p>
        </w:tc>
        <w:tc>
          <w:tcPr>
            <w:tcW w:w="1515" w:type="dxa"/>
            <w:tcBorders>
              <w:top w:val="single" w:color="auto" w:sz="4" w:space="0"/>
              <w:left w:val="single" w:color="auto" w:sz="4" w:space="0"/>
              <w:bottom w:val="single" w:color="auto" w:sz="4" w:space="0"/>
              <w:right w:val="single" w:color="auto" w:sz="4" w:space="0"/>
            </w:tcBorders>
            <w:vAlign w:val="center"/>
          </w:tcPr>
          <w:p w14:paraId="797EF740">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16E04112">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招标文件</w:t>
            </w:r>
            <w:r>
              <w:rPr>
                <w:rFonts w:hint="eastAsia" w:ascii="Times New Roman" w:hAnsi="Times New Roman" w:eastAsia="方正仿宋_GBK" w:cs="Times New Roman"/>
                <w:color w:val="auto"/>
                <w:sz w:val="28"/>
                <w:szCs w:val="28"/>
              </w:rPr>
              <w:t>需修改或根据投标人提出的问题进行修改、澄清或答疑，招标人将在网上发出补遗通知，请投标人自行查阅和下载。</w:t>
            </w:r>
          </w:p>
        </w:tc>
      </w:tr>
      <w:tr w14:paraId="2E9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193D730">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5FB332B7">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8AD6DFE">
            <w:pPr>
              <w:spacing w:line="38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rPr>
              <w:t>。</w:t>
            </w:r>
          </w:p>
          <w:p w14:paraId="3061AF79">
            <w:pPr>
              <w:spacing w:line="380" w:lineRule="exact"/>
              <w:ind w:firstLine="560" w:firstLineChars="200"/>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2.提出</w:t>
            </w:r>
            <w:r>
              <w:rPr>
                <w:rFonts w:hint="eastAsia" w:ascii="Times New Roman" w:hAnsi="Times New Roman" w:eastAsia="方正仿宋_GBK" w:cs="Times New Roman"/>
                <w:color w:val="auto"/>
                <w:sz w:val="28"/>
                <w:szCs w:val="28"/>
              </w:rPr>
              <w:t>疑问的时间</w:t>
            </w:r>
            <w:r>
              <w:rPr>
                <w:rFonts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rPr>
              <w:t>2026年7月14日</w:t>
            </w:r>
          </w:p>
        </w:tc>
      </w:tr>
      <w:tr w14:paraId="2C3A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ABA6C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2.3</w:t>
            </w:r>
          </w:p>
        </w:tc>
        <w:tc>
          <w:tcPr>
            <w:tcW w:w="1515" w:type="dxa"/>
            <w:tcBorders>
              <w:top w:val="single" w:color="auto" w:sz="4" w:space="0"/>
              <w:left w:val="single" w:color="auto" w:sz="4" w:space="0"/>
              <w:bottom w:val="single" w:color="auto" w:sz="4" w:space="0"/>
              <w:right w:val="single" w:color="auto" w:sz="4" w:space="0"/>
            </w:tcBorders>
            <w:vAlign w:val="center"/>
          </w:tcPr>
          <w:p w14:paraId="722A5518">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5D0F5F05">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1.招标人对已发出的招标文件需要进行澄清、修改或对疑问作答的，将在重庆财经学院校园网（http://www.cfec.edu.cn）”上发布。</w:t>
            </w:r>
          </w:p>
          <w:p w14:paraId="31BD32D6">
            <w:pPr>
              <w:spacing w:line="38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2.答疑发布时间：收到书面质疑后7个工作日内。</w:t>
            </w:r>
          </w:p>
          <w:p w14:paraId="4254046C">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9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BF6C6E6">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w:t>
            </w:r>
          </w:p>
        </w:tc>
        <w:tc>
          <w:tcPr>
            <w:tcW w:w="1515" w:type="dxa"/>
            <w:tcBorders>
              <w:top w:val="single" w:color="auto" w:sz="4" w:space="0"/>
              <w:left w:val="single" w:color="auto" w:sz="4" w:space="0"/>
              <w:bottom w:val="single" w:color="auto" w:sz="4" w:space="0"/>
              <w:right w:val="single" w:color="auto" w:sz="4" w:space="0"/>
            </w:tcBorders>
            <w:vAlign w:val="center"/>
          </w:tcPr>
          <w:p w14:paraId="25395114">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2E838D8">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投标文件的组成和内容必须实质性响应招标文件的要求，否则将被拒绝。</w:t>
            </w:r>
          </w:p>
        </w:tc>
      </w:tr>
      <w:tr w14:paraId="5F49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506B506D">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3FF93E3D">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57D57F6D">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1.投标文件计量单位：采用国家法定计量单位（标准）；</w:t>
            </w:r>
          </w:p>
          <w:p w14:paraId="34866D90">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2.投标文件的组成必须统一格式（见招标文件第五章内容）</w:t>
            </w:r>
          </w:p>
          <w:p w14:paraId="2425F58C">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3.投标人的书面澄清、说明和补正（但不得改变投标文件的实质性内容）。</w:t>
            </w:r>
          </w:p>
        </w:tc>
      </w:tr>
      <w:tr w14:paraId="6890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96DC131">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729937B6">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7AFB22D2">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 投标人的投标报价应是本章投标人须知前附表1.3.1项中所述的全部内容的投标报价，如果有任何遗漏，均被视为投标人已经在其投标总价中考虑。</w:t>
            </w:r>
          </w:p>
          <w:p w14:paraId="0F73CD1A">
            <w:pPr>
              <w:spacing w:line="400" w:lineRule="exact"/>
              <w:rPr>
                <w:rFonts w:ascii="Times New Roman" w:hAnsi="Times New Roman" w:eastAsia="方正仿宋_GBK" w:cs="Times New Roman"/>
                <w:color w:val="auto"/>
                <w:sz w:val="28"/>
                <w:szCs w:val="28"/>
                <w:highlight w:val="yellow"/>
              </w:rPr>
            </w:pPr>
            <w:r>
              <w:rPr>
                <w:rFonts w:hint="eastAsia" w:ascii="Times New Roman" w:hAnsi="Times New Roman" w:eastAsia="方正仿宋_GBK" w:cs="Times New Roman"/>
                <w:color w:val="auto"/>
                <w:sz w:val="28"/>
                <w:szCs w:val="28"/>
              </w:rPr>
              <w:t>投标报价须为人民币报价，包括完成本项目所确定的全部工作内容的包干价。包含：产品货款、运输装卸费、安装调试费、数据接口费、培训费、质保期内免费服务、耗材费、服务地点内垃圾清运、安全措施费、管理费、政策性文件规定及合同包含的所有风险费、利润、税金等履行完本项目的所有费用，采购人不再追加其他费用。</w:t>
            </w:r>
          </w:p>
        </w:tc>
      </w:tr>
      <w:tr w14:paraId="73AF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62EF8B">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068CA35B">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5C639746">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90日历天（从递交投标文件截止日起计算）</w:t>
            </w:r>
          </w:p>
        </w:tc>
      </w:tr>
      <w:tr w14:paraId="2FC8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75983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B5DC1B6">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6DD3863">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见招标公告</w:t>
            </w:r>
          </w:p>
        </w:tc>
      </w:tr>
      <w:tr w14:paraId="5419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C8E0EE8">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0DEB805">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7B465435">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本须知前附表1.4.1条要求的相关资料复印件（需要加盖公章）即为审查内容；</w:t>
            </w:r>
          </w:p>
        </w:tc>
      </w:tr>
      <w:tr w14:paraId="7B78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C4C4E5C">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3.6</w:t>
            </w:r>
          </w:p>
        </w:tc>
        <w:tc>
          <w:tcPr>
            <w:tcW w:w="1515" w:type="dxa"/>
            <w:tcBorders>
              <w:top w:val="single" w:color="auto" w:sz="4" w:space="0"/>
              <w:left w:val="single" w:color="auto" w:sz="4" w:space="0"/>
              <w:bottom w:val="single" w:color="auto" w:sz="4" w:space="0"/>
              <w:right w:val="single" w:color="auto" w:sz="4" w:space="0"/>
            </w:tcBorders>
            <w:vAlign w:val="center"/>
          </w:tcPr>
          <w:p w14:paraId="46672026">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7D492E0A">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不允许</w:t>
            </w:r>
          </w:p>
        </w:tc>
      </w:tr>
      <w:tr w14:paraId="774D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B68DF1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1142C421">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496AF2DD">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1.投标文件格式上要求签字盖章的地方，必须签字盖章；</w:t>
            </w:r>
          </w:p>
          <w:p w14:paraId="26F3F010">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2.所有涉及投标报价、承诺、保证等内容必须签字盖章。</w:t>
            </w:r>
          </w:p>
        </w:tc>
      </w:tr>
      <w:tr w14:paraId="6189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4BA7A9">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676BEC0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4A2567">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正本1份、副本2份</w:t>
            </w:r>
          </w:p>
        </w:tc>
      </w:tr>
      <w:tr w14:paraId="65E6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AA47431">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120A654E">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33DD0B39">
            <w:pPr>
              <w:spacing w:line="400" w:lineRule="exact"/>
              <w:jc w:val="lef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1.投标函</w:t>
            </w:r>
          </w:p>
          <w:p w14:paraId="420451CA">
            <w:pPr>
              <w:spacing w:line="400" w:lineRule="exact"/>
              <w:jc w:val="lef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2.法定代表人身份证明及授权委托书</w:t>
            </w:r>
          </w:p>
          <w:p w14:paraId="32628779">
            <w:pPr>
              <w:spacing w:line="400" w:lineRule="exact"/>
              <w:jc w:val="left"/>
              <w:rPr>
                <w:rFonts w:hint="eastAsia" w:ascii="Times New Roman" w:hAnsi="Times New Roman" w:eastAsia="方正仿宋_GBK" w:cs="Times New Roman"/>
                <w:color w:val="auto"/>
                <w:sz w:val="28"/>
                <w:szCs w:val="28"/>
                <w:lang w:val="en-US" w:eastAsia="zh-CN"/>
              </w:rPr>
            </w:pPr>
            <w:r>
              <w:rPr>
                <w:rFonts w:ascii="Times New Roman" w:hAnsi="Times New Roman" w:eastAsia="方正仿宋_GBK" w:cs="Times New Roman"/>
                <w:color w:val="auto"/>
                <w:sz w:val="28"/>
                <w:szCs w:val="28"/>
              </w:rPr>
              <w:t>3.投标人</w:t>
            </w:r>
            <w:r>
              <w:rPr>
                <w:rFonts w:hint="eastAsia" w:ascii="Times New Roman" w:hAnsi="Times New Roman" w:eastAsia="方正仿宋_GBK" w:cs="Times New Roman"/>
                <w:color w:val="auto"/>
                <w:sz w:val="28"/>
                <w:szCs w:val="28"/>
                <w:lang w:val="en-US" w:eastAsia="zh-CN"/>
              </w:rPr>
              <w:t>资格审查文件</w:t>
            </w:r>
          </w:p>
          <w:p w14:paraId="530909B5">
            <w:pPr>
              <w:spacing w:line="400" w:lineRule="exact"/>
              <w:jc w:val="lef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4.</w:t>
            </w:r>
            <w:r>
              <w:rPr>
                <w:rFonts w:hint="eastAsia" w:ascii="Times New Roman" w:hAnsi="Times New Roman" w:eastAsia="方正仿宋_GBK" w:cs="Times New Roman"/>
                <w:color w:val="auto"/>
                <w:sz w:val="28"/>
                <w:szCs w:val="28"/>
              </w:rPr>
              <w:t>响应文件</w:t>
            </w:r>
          </w:p>
          <w:p w14:paraId="0625742D">
            <w:pPr>
              <w:spacing w:line="400" w:lineRule="exact"/>
              <w:jc w:val="left"/>
              <w:rPr>
                <w:rFonts w:hint="eastAsia"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5.</w:t>
            </w:r>
            <w:r>
              <w:rPr>
                <w:rFonts w:hint="eastAsia" w:ascii="Times New Roman" w:hAnsi="Times New Roman" w:eastAsia="方正仿宋_GBK" w:cs="Times New Roman"/>
                <w:color w:val="auto"/>
                <w:sz w:val="28"/>
                <w:szCs w:val="28"/>
              </w:rPr>
              <w:t>投标文件PDF格式的电子档U盘一份</w:t>
            </w:r>
          </w:p>
          <w:p w14:paraId="2F27358C">
            <w:pPr>
              <w:adjustRightInd w:val="0"/>
              <w:spacing w:line="480" w:lineRule="auto"/>
              <w:jc w:val="left"/>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6.招标文件购买费缴纳凭据</w:t>
            </w:r>
          </w:p>
        </w:tc>
      </w:tr>
      <w:tr w14:paraId="1135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9FD5219">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66437B32">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45DA1F81">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1.使用投标文件袋</w:t>
            </w:r>
          </w:p>
          <w:p w14:paraId="5BF778BF">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2.密封并在投标文件袋处加盖投标人单位章，同时投标文件大袋应按本表第4.1.2项的规定写明相应内容。</w:t>
            </w:r>
          </w:p>
          <w:p w14:paraId="3FE00BE8">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3.如果投标文件大袋未按上述规定封装，招标人拒绝接收。</w:t>
            </w:r>
          </w:p>
        </w:tc>
      </w:tr>
      <w:tr w14:paraId="5249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38872D">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23A6A357">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4AD4F9DA">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项目名称：</w:t>
            </w:r>
            <w:r>
              <w:rPr>
                <w:rFonts w:hint="eastAsia" w:ascii="Times New Roman" w:hAnsi="Times New Roman" w:eastAsia="方正仿宋_GBK" w:cs="Times New Roman"/>
                <w:color w:val="auto"/>
                <w:sz w:val="28"/>
                <w:szCs w:val="28"/>
              </w:rPr>
              <w:t>重庆财经学院智能车及物联网应用场景实验室建设采购项目</w:t>
            </w:r>
          </w:p>
          <w:p w14:paraId="6781F157">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投标人名称：</w:t>
            </w:r>
            <w:r>
              <w:rPr>
                <w:rFonts w:ascii="Times New Roman" w:hAnsi="Times New Roman" w:eastAsia="方正仿宋_GBK" w:cs="Times New Roman"/>
                <w:color w:val="auto"/>
                <w:sz w:val="28"/>
                <w:szCs w:val="28"/>
                <w:u w:val="single"/>
              </w:rPr>
              <w:t xml:space="preserve">             </w:t>
            </w:r>
            <w:r>
              <w:rPr>
                <w:rFonts w:ascii="Times New Roman" w:hAnsi="Times New Roman" w:eastAsia="方正仿宋_GBK" w:cs="Times New Roman"/>
                <w:color w:val="auto"/>
                <w:sz w:val="28"/>
                <w:szCs w:val="28"/>
              </w:rPr>
              <w:t>（投标人盖章）</w:t>
            </w:r>
          </w:p>
          <w:p w14:paraId="7F148BF1">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 xml:space="preserve">投标文件 在开标前不得开启 </w:t>
            </w:r>
          </w:p>
        </w:tc>
      </w:tr>
      <w:tr w14:paraId="333E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69E4CE54">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09CC581E">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7F5D2414">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见招标公告</w:t>
            </w:r>
          </w:p>
        </w:tc>
      </w:tr>
      <w:tr w14:paraId="240B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CC8F395">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74357E2E">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336B002">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见投标时间截止公告</w:t>
            </w:r>
          </w:p>
        </w:tc>
      </w:tr>
      <w:tr w14:paraId="1352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93C8109">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012F19D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6FF8309">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否</w:t>
            </w:r>
          </w:p>
        </w:tc>
      </w:tr>
      <w:tr w14:paraId="6FDB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4833202">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5</w:t>
            </w:r>
          </w:p>
        </w:tc>
        <w:tc>
          <w:tcPr>
            <w:tcW w:w="1515" w:type="dxa"/>
            <w:tcBorders>
              <w:top w:val="single" w:color="auto" w:sz="4" w:space="0"/>
              <w:left w:val="single" w:color="auto" w:sz="4" w:space="0"/>
              <w:bottom w:val="single" w:color="auto" w:sz="4" w:space="0"/>
              <w:right w:val="single" w:color="auto" w:sz="4" w:space="0"/>
            </w:tcBorders>
            <w:vAlign w:val="center"/>
          </w:tcPr>
          <w:p w14:paraId="182253AE">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77F0E704">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开标会由重庆财经学院招</w:t>
            </w:r>
            <w:r>
              <w:rPr>
                <w:rFonts w:hint="eastAsia" w:ascii="Times New Roman" w:hAnsi="Times New Roman" w:eastAsia="方正仿宋_GBK" w:cs="Times New Roman"/>
                <w:color w:val="auto"/>
                <w:sz w:val="28"/>
                <w:szCs w:val="28"/>
              </w:rPr>
              <w:t>采</w:t>
            </w:r>
            <w:r>
              <w:rPr>
                <w:rFonts w:ascii="Times New Roman" w:hAnsi="Times New Roman" w:eastAsia="方正仿宋_GBK" w:cs="Times New Roman"/>
                <w:color w:val="auto"/>
                <w:sz w:val="28"/>
                <w:szCs w:val="28"/>
              </w:rPr>
              <w:t>办公室主持</w:t>
            </w:r>
          </w:p>
        </w:tc>
      </w:tr>
      <w:tr w14:paraId="1F9F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14F4BDE">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5.1</w:t>
            </w:r>
          </w:p>
        </w:tc>
        <w:tc>
          <w:tcPr>
            <w:tcW w:w="1515" w:type="dxa"/>
            <w:tcBorders>
              <w:top w:val="single" w:color="auto" w:sz="4" w:space="0"/>
              <w:left w:val="single" w:color="auto" w:sz="4" w:space="0"/>
              <w:bottom w:val="single" w:color="auto" w:sz="4" w:space="0"/>
              <w:right w:val="single" w:color="auto" w:sz="4" w:space="0"/>
            </w:tcBorders>
            <w:vAlign w:val="center"/>
          </w:tcPr>
          <w:p w14:paraId="6A1E5DEF">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2A06954F">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开标时间：开标时间另行通知。</w:t>
            </w:r>
          </w:p>
          <w:p w14:paraId="599AB85C">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开标地点：重庆财经学院</w:t>
            </w:r>
          </w:p>
        </w:tc>
      </w:tr>
      <w:tr w14:paraId="7325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8A0F8F6">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6</w:t>
            </w:r>
          </w:p>
        </w:tc>
        <w:tc>
          <w:tcPr>
            <w:tcW w:w="1515" w:type="dxa"/>
            <w:tcBorders>
              <w:top w:val="single" w:color="auto" w:sz="4" w:space="0"/>
              <w:left w:val="single" w:color="auto" w:sz="4" w:space="0"/>
              <w:bottom w:val="single" w:color="auto" w:sz="4" w:space="0"/>
              <w:right w:val="single" w:color="auto" w:sz="4" w:space="0"/>
            </w:tcBorders>
            <w:vAlign w:val="center"/>
          </w:tcPr>
          <w:p w14:paraId="627BDF2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52D3A61">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本项目评标委员会按照本次招标文件要求进行评标</w:t>
            </w:r>
          </w:p>
        </w:tc>
      </w:tr>
      <w:tr w14:paraId="1B5B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FA76AD2">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6.1</w:t>
            </w:r>
          </w:p>
        </w:tc>
        <w:tc>
          <w:tcPr>
            <w:tcW w:w="1515" w:type="dxa"/>
            <w:tcBorders>
              <w:top w:val="single" w:color="auto" w:sz="4" w:space="0"/>
              <w:left w:val="single" w:color="auto" w:sz="4" w:space="0"/>
              <w:bottom w:val="single" w:color="auto" w:sz="4" w:space="0"/>
              <w:right w:val="single" w:color="auto" w:sz="4" w:space="0"/>
            </w:tcBorders>
            <w:vAlign w:val="center"/>
          </w:tcPr>
          <w:p w14:paraId="54B9FDA3">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7E444016">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由招标人根据重庆财经学院</w:t>
            </w:r>
            <w:r>
              <w:rPr>
                <w:rFonts w:hint="eastAsia" w:ascii="Times New Roman" w:hAnsi="Times New Roman" w:eastAsia="方正仿宋_GBK" w:cs="Times New Roman"/>
                <w:color w:val="auto"/>
                <w:sz w:val="28"/>
                <w:szCs w:val="28"/>
              </w:rPr>
              <w:t>招采</w:t>
            </w:r>
            <w:r>
              <w:rPr>
                <w:rFonts w:ascii="Times New Roman" w:hAnsi="Times New Roman" w:eastAsia="方正仿宋_GBK" w:cs="Times New Roman"/>
                <w:color w:val="auto"/>
                <w:sz w:val="28"/>
                <w:szCs w:val="28"/>
              </w:rPr>
              <w:t>管理办法组建</w:t>
            </w:r>
          </w:p>
        </w:tc>
      </w:tr>
      <w:tr w14:paraId="12C6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0272278">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7.1</w:t>
            </w:r>
          </w:p>
        </w:tc>
        <w:tc>
          <w:tcPr>
            <w:tcW w:w="1515" w:type="dxa"/>
            <w:tcBorders>
              <w:top w:val="single" w:color="auto" w:sz="4" w:space="0"/>
              <w:left w:val="single" w:color="auto" w:sz="4" w:space="0"/>
              <w:bottom w:val="single" w:color="auto" w:sz="4" w:space="0"/>
              <w:right w:val="single" w:color="auto" w:sz="4" w:space="0"/>
            </w:tcBorders>
            <w:vAlign w:val="center"/>
          </w:tcPr>
          <w:p w14:paraId="18622745">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8893519">
            <w:pPr>
              <w:spacing w:line="40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否，评标委员会按照由高到低的顺序依次推荐1～3名为中标候选人。</w:t>
            </w:r>
          </w:p>
        </w:tc>
      </w:tr>
      <w:tr w14:paraId="2F74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A25BAA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476FE19">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23FEE5F7">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b/>
                <w:bCs/>
                <w:color w:val="auto"/>
                <w:sz w:val="28"/>
                <w:szCs w:val="28"/>
              </w:rPr>
              <w:t>重新招标：</w:t>
            </w:r>
            <w:r>
              <w:rPr>
                <w:rFonts w:hint="eastAsia" w:ascii="Times New Roman" w:hAnsi="Times New Roman" w:eastAsia="方正仿宋_GBK" w:cs="Times New Roman"/>
                <w:color w:val="auto"/>
                <w:sz w:val="28"/>
                <w:szCs w:val="28"/>
              </w:rPr>
              <w:t>（1）投标截止时间止，投标人少于三个的；（2）评标后合格的投标人少于三个的。</w:t>
            </w:r>
          </w:p>
          <w:p w14:paraId="04C90941">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b/>
                <w:bCs/>
                <w:color w:val="auto"/>
                <w:sz w:val="28"/>
                <w:szCs w:val="28"/>
              </w:rPr>
              <w:t>不再招标：</w:t>
            </w:r>
            <w:r>
              <w:rPr>
                <w:rFonts w:hint="eastAsia" w:ascii="Times New Roman" w:hAnsi="Times New Roman" w:eastAsia="方正仿宋_GBK" w:cs="Times New Roman"/>
                <w:color w:val="auto"/>
                <w:sz w:val="28"/>
                <w:szCs w:val="28"/>
              </w:rPr>
              <w:t>若调整采购需求重新招标仍然失败的，可以采用竞争性谈判或单一来源的方式执行本项目</w:t>
            </w:r>
          </w:p>
        </w:tc>
      </w:tr>
      <w:tr w14:paraId="61F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AD96945">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1A8560D">
            <w:pPr>
              <w:adjustRightInd w:val="0"/>
              <w:spacing w:line="400" w:lineRule="exact"/>
              <w:ind w:left="480"/>
              <w:jc w:val="center"/>
              <w:rPr>
                <w:rFonts w:ascii="Times New Roman" w:hAnsi="Times New Roman" w:eastAsia="方正仿宋_GBK" w:cs="Times New Roman"/>
                <w:b/>
                <w:color w:val="auto"/>
                <w:sz w:val="28"/>
                <w:szCs w:val="28"/>
              </w:rPr>
            </w:pPr>
            <w:r>
              <w:rPr>
                <w:rFonts w:ascii="Times New Roman" w:hAnsi="Times New Roman" w:eastAsia="方正仿宋_GBK" w:cs="Times New Roman"/>
                <w:color w:val="auto"/>
                <w:sz w:val="28"/>
                <w:szCs w:val="28"/>
              </w:rPr>
              <w:t>补充内容</w:t>
            </w:r>
          </w:p>
        </w:tc>
      </w:tr>
      <w:tr w14:paraId="2394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7111BCF">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664C989">
            <w:pPr>
              <w:spacing w:line="400" w:lineRule="exact"/>
              <w:jc w:val="lef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1.投标人收到中标通知书3天后，投标保证金自动转为履约保证金，履约保证金按不超过合同金额的10%收取，多退少补（无息）。</w:t>
            </w:r>
          </w:p>
        </w:tc>
      </w:tr>
      <w:tr w14:paraId="5161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1C6629A">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02C16C37">
            <w:pPr>
              <w:spacing w:line="400" w:lineRule="exact"/>
              <w:jc w:val="left"/>
              <w:rPr>
                <w:rFonts w:ascii="Times New Roman" w:hAnsi="Times New Roman" w:eastAsia="方正仿宋_GBK" w:cs="Times New Roman"/>
                <w:b/>
                <w:color w:val="auto"/>
                <w:sz w:val="28"/>
                <w:szCs w:val="28"/>
              </w:rPr>
            </w:pPr>
            <w:r>
              <w:rPr>
                <w:rFonts w:ascii="Times New Roman" w:hAnsi="Times New Roman" w:eastAsia="方正仿宋_GBK" w:cs="Times New Roman"/>
                <w:color w:val="auto"/>
                <w:sz w:val="28"/>
                <w:szCs w:val="28"/>
              </w:rPr>
              <w:t>本项目从签订合同起，中标方应按照招标方的要求将所提供的设备安装到指定地点</w:t>
            </w:r>
            <w:r>
              <w:rPr>
                <w:rFonts w:hint="eastAsia" w:ascii="Times New Roman" w:hAnsi="Times New Roman" w:eastAsia="方正仿宋_GBK" w:cs="Times New Roman"/>
                <w:color w:val="auto"/>
                <w:sz w:val="28"/>
                <w:szCs w:val="28"/>
              </w:rPr>
              <w:t>，并完成调试、培训等工作</w:t>
            </w:r>
            <w:r>
              <w:rPr>
                <w:rFonts w:ascii="Times New Roman" w:hAnsi="Times New Roman" w:eastAsia="方正仿宋_GBK" w:cs="Times New Roman"/>
                <w:color w:val="auto"/>
                <w:sz w:val="28"/>
                <w:szCs w:val="28"/>
              </w:rPr>
              <w:t>。若规定时间内中标方未能完成本项目，招标人有权不退还履约保证金并追究中标方的责任。</w:t>
            </w:r>
          </w:p>
        </w:tc>
      </w:tr>
      <w:tr w14:paraId="3B92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17C656EE">
            <w:pPr>
              <w:spacing w:line="400" w:lineRule="exact"/>
              <w:jc w:val="center"/>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2F01B6EA">
            <w:pPr>
              <w:adjustRightInd w:val="0"/>
              <w:spacing w:line="400" w:lineRule="exact"/>
              <w:jc w:val="left"/>
              <w:textAlignment w:val="baseline"/>
              <w:rPr>
                <w:rFonts w:ascii="Times New Roman" w:hAnsi="Times New Roman" w:eastAsia="方正仿宋_GBK" w:cs="Times New Roman"/>
                <w:bCs/>
                <w:color w:val="auto"/>
                <w:sz w:val="28"/>
                <w:szCs w:val="28"/>
              </w:rPr>
            </w:pPr>
            <w:r>
              <w:rPr>
                <w:rFonts w:hint="eastAsia" w:ascii="Times New Roman" w:hAnsi="Times New Roman" w:eastAsia="方正仿宋_GBK" w:cs="Times New Roman"/>
                <w:b/>
                <w:color w:val="auto"/>
                <w:sz w:val="28"/>
                <w:szCs w:val="28"/>
              </w:rPr>
              <w:t>付款条件：</w:t>
            </w:r>
            <w:r>
              <w:rPr>
                <w:rFonts w:hint="eastAsia" w:ascii="Times New Roman" w:hAnsi="Times New Roman" w:eastAsia="方正仿宋_GBK" w:cs="Times New Roman"/>
                <w:bCs/>
                <w:color w:val="auto"/>
                <w:sz w:val="28"/>
                <w:szCs w:val="28"/>
              </w:rPr>
              <w:t>按合同要求所有设备安装、调试、培训完成后，根据付款方式规定的时间节点和验收要求，验收合格并履行完验收手续后，在支付第一笔合同款时，甲方通知乙方开具全额正规税务发票并同时提供汇款单位名称、帐号、开户行等。</w:t>
            </w:r>
          </w:p>
          <w:p w14:paraId="6FD2E94D">
            <w:pPr>
              <w:adjustRightInd w:val="0"/>
              <w:spacing w:line="400" w:lineRule="exact"/>
              <w:jc w:val="left"/>
              <w:textAlignment w:val="baseline"/>
              <w:rPr>
                <w:rFonts w:ascii="Times New Roman" w:hAnsi="Times New Roman" w:eastAsia="方正仿宋_GBK" w:cs="Times New Roman"/>
                <w:b/>
                <w:color w:val="auto"/>
                <w:sz w:val="28"/>
                <w:szCs w:val="28"/>
              </w:rPr>
            </w:pPr>
            <w:r>
              <w:rPr>
                <w:rFonts w:hint="eastAsia" w:ascii="Times New Roman" w:hAnsi="Times New Roman" w:eastAsia="方正仿宋_GBK" w:cs="Times New Roman"/>
                <w:b/>
                <w:color w:val="auto"/>
                <w:sz w:val="28"/>
                <w:szCs w:val="28"/>
              </w:rPr>
              <w:t>付款方式（最终以合同为准）</w:t>
            </w:r>
            <w:r>
              <w:rPr>
                <w:rFonts w:ascii="Times New Roman" w:hAnsi="Times New Roman" w:eastAsia="方正仿宋_GBK" w:cs="Times New Roman"/>
                <w:b/>
                <w:color w:val="auto"/>
                <w:sz w:val="28"/>
                <w:szCs w:val="28"/>
              </w:rPr>
              <w:t>：</w:t>
            </w:r>
          </w:p>
          <w:p w14:paraId="094D14F4">
            <w:pPr>
              <w:numPr>
                <w:ilvl w:val="0"/>
                <w:numId w:val="11"/>
              </w:numPr>
              <w:adjustRightInd w:val="0"/>
              <w:spacing w:line="400" w:lineRule="exact"/>
              <w:jc w:val="left"/>
              <w:textAlignment w:val="baseline"/>
              <w:rPr>
                <w:rFonts w:ascii="Times New Roman" w:hAnsi="Times New Roman" w:eastAsia="方正仿宋_GBK" w:cs="Times New Roman"/>
                <w:b/>
                <w:color w:val="auto"/>
                <w:sz w:val="28"/>
                <w:szCs w:val="28"/>
              </w:rPr>
            </w:pPr>
            <w:r>
              <w:rPr>
                <w:rFonts w:hint="eastAsia" w:ascii="Times New Roman" w:hAnsi="Times New Roman" w:eastAsia="方正仿宋_GBK" w:cs="Times New Roman"/>
                <w:b/>
                <w:color w:val="auto"/>
                <w:sz w:val="28"/>
                <w:szCs w:val="28"/>
              </w:rPr>
              <w:t>合同签订验收合格后支付70%的合同款；</w:t>
            </w:r>
          </w:p>
          <w:p w14:paraId="6D29905B">
            <w:pPr>
              <w:numPr>
                <w:ilvl w:val="0"/>
                <w:numId w:val="11"/>
              </w:numPr>
              <w:adjustRightInd w:val="0"/>
              <w:spacing w:line="400" w:lineRule="exact"/>
              <w:jc w:val="left"/>
              <w:textAlignment w:val="baseline"/>
              <w:rPr>
                <w:rFonts w:ascii="Times New Roman" w:hAnsi="Times New Roman" w:eastAsia="方正仿宋_GBK" w:cs="Times New Roman"/>
                <w:b/>
                <w:color w:val="auto"/>
                <w:sz w:val="28"/>
                <w:szCs w:val="28"/>
              </w:rPr>
            </w:pPr>
            <w:r>
              <w:rPr>
                <w:rFonts w:hint="eastAsia" w:ascii="Times New Roman" w:hAnsi="Times New Roman" w:eastAsia="方正仿宋_GBK" w:cs="Times New Roman"/>
                <w:b/>
                <w:color w:val="auto"/>
                <w:sz w:val="28"/>
                <w:szCs w:val="28"/>
              </w:rPr>
              <w:t>满足4个月正常教学运行后支付25%的合同款（无息）；</w:t>
            </w:r>
          </w:p>
          <w:p w14:paraId="6E93EA58">
            <w:pPr>
              <w:numPr>
                <w:ilvl w:val="0"/>
                <w:numId w:val="11"/>
              </w:numPr>
              <w:adjustRightInd w:val="0"/>
              <w:spacing w:line="400" w:lineRule="exact"/>
              <w:jc w:val="left"/>
              <w:textAlignment w:val="baseline"/>
              <w:rPr>
                <w:rFonts w:ascii="Times New Roman" w:hAnsi="Times New Roman" w:eastAsia="方正仿宋_GBK" w:cs="Times New Roman"/>
                <w:b/>
                <w:color w:val="auto"/>
                <w:sz w:val="28"/>
                <w:szCs w:val="28"/>
              </w:rPr>
            </w:pPr>
            <w:r>
              <w:rPr>
                <w:rFonts w:hint="eastAsia" w:ascii="Times New Roman" w:hAnsi="Times New Roman" w:eastAsia="方正仿宋_GBK" w:cs="Times New Roman"/>
                <w:b/>
                <w:color w:val="auto"/>
                <w:sz w:val="28"/>
                <w:szCs w:val="28"/>
              </w:rPr>
              <w:t>质保期满后支付剩余的5%合同款（无息）。</w:t>
            </w:r>
          </w:p>
        </w:tc>
      </w:tr>
    </w:tbl>
    <w:p w14:paraId="6DD8CA90">
      <w:pPr>
        <w:rPr>
          <w:rFonts w:ascii="Times New Roman" w:hAnsi="Times New Roman" w:eastAsia="方正楷体_GBK" w:cs="Times New Roman"/>
          <w:b/>
          <w:color w:val="auto"/>
          <w:w w:val="99"/>
          <w:kern w:val="0"/>
          <w:sz w:val="32"/>
          <w:szCs w:val="32"/>
          <w:lang w:val="zh-CN"/>
        </w:rPr>
      </w:pPr>
      <w:r>
        <w:rPr>
          <w:rFonts w:ascii="Times New Roman" w:hAnsi="Times New Roman" w:eastAsia="方正楷体_GBK" w:cs="Times New Roman"/>
          <w:b/>
          <w:color w:val="auto"/>
          <w:w w:val="99"/>
          <w:kern w:val="0"/>
          <w:sz w:val="32"/>
          <w:szCs w:val="32"/>
          <w:lang w:val="zh-CN"/>
        </w:rPr>
        <w:br w:type="page"/>
      </w:r>
    </w:p>
    <w:p w14:paraId="30DFEBA7">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7" w:name="_Toc10715"/>
      <w:r>
        <w:rPr>
          <w:rFonts w:ascii="Times New Roman" w:hAnsi="Times New Roman" w:eastAsia="方正楷体_GBK" w:cs="Times New Roman"/>
          <w:b/>
          <w:color w:val="auto"/>
          <w:w w:val="99"/>
          <w:kern w:val="0"/>
          <w:sz w:val="21"/>
          <w:szCs w:val="21"/>
          <w:lang w:val="zh-CN"/>
        </w:rPr>
        <w:t>1</w:t>
      </w:r>
      <w:r>
        <w:rPr>
          <w:rFonts w:ascii="Times New Roman" w:hAnsi="Times New Roman" w:eastAsia="方正楷体_GBK" w:cs="Times New Roman"/>
          <w:b/>
          <w:color w:val="auto"/>
          <w:w w:val="99"/>
          <w:kern w:val="0"/>
          <w:sz w:val="21"/>
          <w:szCs w:val="21"/>
        </w:rPr>
        <w:t>.</w:t>
      </w:r>
      <w:r>
        <w:rPr>
          <w:rFonts w:ascii="Times New Roman" w:hAnsi="Times New Roman" w:eastAsia="方正楷体_GBK" w:cs="Times New Roman"/>
          <w:b/>
          <w:color w:val="auto"/>
          <w:w w:val="99"/>
          <w:kern w:val="0"/>
          <w:sz w:val="21"/>
          <w:szCs w:val="21"/>
          <w:lang w:val="zh-CN"/>
        </w:rPr>
        <w:t>总则</w:t>
      </w:r>
      <w:bookmarkEnd w:id="7"/>
    </w:p>
    <w:p w14:paraId="19602A8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8" w:name="_Toc334774165"/>
      <w:bookmarkStart w:id="9" w:name="_Toc531594736"/>
      <w:bookmarkStart w:id="10" w:name="_Toc12010"/>
      <w:bookmarkStart w:id="11" w:name="_Toc32002"/>
      <w:r>
        <w:rPr>
          <w:rFonts w:ascii="Times New Roman" w:hAnsi="Times New Roman" w:eastAsia="方正仿宋_GBK" w:cs="Times New Roman"/>
          <w:b/>
          <w:color w:val="auto"/>
          <w:kern w:val="0"/>
          <w:sz w:val="21"/>
          <w:szCs w:val="21"/>
        </w:rPr>
        <w:t>1.1 项目概况</w:t>
      </w:r>
      <w:bookmarkEnd w:id="8"/>
      <w:bookmarkEnd w:id="9"/>
      <w:bookmarkEnd w:id="10"/>
      <w:bookmarkEnd w:id="11"/>
    </w:p>
    <w:p w14:paraId="194C541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2" w:name="_Toc32762"/>
      <w:r>
        <w:rPr>
          <w:rFonts w:ascii="Times New Roman" w:hAnsi="Times New Roman" w:eastAsia="方正仿宋_GBK" w:cs="Times New Roman"/>
          <w:color w:val="auto"/>
          <w:kern w:val="0"/>
          <w:sz w:val="21"/>
          <w:szCs w:val="21"/>
        </w:rPr>
        <w:t>1.1.1 根据《</w:t>
      </w:r>
      <w:r>
        <w:rPr>
          <w:rFonts w:hint="eastAsia" w:ascii="Times New Roman" w:hAnsi="Times New Roman" w:eastAsia="方正仿宋_GBK" w:cs="Times New Roman"/>
          <w:color w:val="auto"/>
          <w:kern w:val="0"/>
          <w:sz w:val="21"/>
          <w:szCs w:val="21"/>
        </w:rPr>
        <w:t>重庆财经学院采购与招标工作管理办法</w:t>
      </w:r>
      <w:r>
        <w:rPr>
          <w:rFonts w:ascii="Times New Roman" w:hAnsi="Times New Roman" w:eastAsia="方正仿宋_GBK" w:cs="Times New Roman"/>
          <w:color w:val="auto"/>
          <w:kern w:val="0"/>
          <w:sz w:val="21"/>
          <w:szCs w:val="21"/>
        </w:rPr>
        <w:t>》等规定，对本项目货物采购及服务进行</w:t>
      </w:r>
      <w:r>
        <w:rPr>
          <w:rFonts w:hint="eastAsia" w:ascii="Times New Roman" w:hAnsi="Times New Roman" w:eastAsia="方正仿宋_GBK" w:cs="Times New Roman"/>
          <w:color w:val="auto"/>
          <w:kern w:val="0"/>
          <w:sz w:val="21"/>
          <w:szCs w:val="21"/>
        </w:rPr>
        <w:t>挂网招标</w:t>
      </w:r>
      <w:r>
        <w:rPr>
          <w:rFonts w:ascii="Times New Roman" w:hAnsi="Times New Roman" w:eastAsia="方正仿宋_GBK" w:cs="Times New Roman"/>
          <w:color w:val="auto"/>
          <w:kern w:val="0"/>
          <w:sz w:val="21"/>
          <w:szCs w:val="21"/>
        </w:rPr>
        <w:t>。</w:t>
      </w:r>
      <w:bookmarkEnd w:id="12"/>
    </w:p>
    <w:p w14:paraId="204392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3" w:name="_Toc3389"/>
      <w:bookmarkStart w:id="14" w:name="_Toc334774168"/>
      <w:bookmarkStart w:id="15" w:name="_Toc8901"/>
      <w:bookmarkStart w:id="16" w:name="_Toc325636584"/>
      <w:bookmarkStart w:id="17" w:name="_Toc531594739"/>
      <w:r>
        <w:rPr>
          <w:rFonts w:ascii="Times New Roman" w:hAnsi="Times New Roman" w:eastAsia="方正仿宋_GBK" w:cs="Times New Roman"/>
          <w:color w:val="auto"/>
          <w:kern w:val="0"/>
          <w:sz w:val="21"/>
          <w:szCs w:val="21"/>
        </w:rPr>
        <w:t>1.1.2 本招标项目名称、项目地点：见投标人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13"/>
    </w:p>
    <w:p w14:paraId="5B5A505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8" w:name="_Toc16546"/>
      <w:r>
        <w:rPr>
          <w:rFonts w:ascii="Times New Roman" w:hAnsi="Times New Roman" w:eastAsia="方正仿宋_GBK" w:cs="Times New Roman"/>
          <w:color w:val="auto"/>
          <w:kern w:val="0"/>
          <w:sz w:val="21"/>
          <w:szCs w:val="21"/>
        </w:rPr>
        <w:t>1.1.3 招标人名称、地址、联系方式：见投标人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18"/>
    </w:p>
    <w:p w14:paraId="32C9E68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9" w:name="_Toc317863424"/>
      <w:bookmarkStart w:id="20" w:name="_Toc200513128"/>
      <w:bookmarkStart w:id="21" w:name="_Toc325636582"/>
      <w:bookmarkStart w:id="22" w:name="_Toc334774166"/>
      <w:bookmarkStart w:id="23" w:name="_Toc31904"/>
      <w:bookmarkStart w:id="24" w:name="_Toc31707"/>
      <w:bookmarkStart w:id="25" w:name="_Toc531594737"/>
      <w:r>
        <w:rPr>
          <w:rFonts w:ascii="Times New Roman" w:hAnsi="Times New Roman" w:eastAsia="方正仿宋_GBK" w:cs="Times New Roman"/>
          <w:b/>
          <w:color w:val="auto"/>
          <w:kern w:val="0"/>
          <w:sz w:val="21"/>
          <w:szCs w:val="21"/>
        </w:rPr>
        <w:t xml:space="preserve">1.2 </w:t>
      </w:r>
      <w:bookmarkEnd w:id="19"/>
      <w:bookmarkEnd w:id="20"/>
      <w:bookmarkEnd w:id="21"/>
      <w:r>
        <w:rPr>
          <w:rFonts w:ascii="Times New Roman" w:hAnsi="Times New Roman" w:eastAsia="方正仿宋_GBK" w:cs="Times New Roman"/>
          <w:b/>
          <w:color w:val="auto"/>
          <w:kern w:val="0"/>
          <w:sz w:val="21"/>
          <w:szCs w:val="21"/>
        </w:rPr>
        <w:t>资金来源和落实情况</w:t>
      </w:r>
      <w:bookmarkEnd w:id="22"/>
      <w:bookmarkEnd w:id="23"/>
      <w:bookmarkEnd w:id="24"/>
      <w:bookmarkEnd w:id="25"/>
    </w:p>
    <w:p w14:paraId="069D0A8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6" w:name="_Toc21796"/>
      <w:r>
        <w:rPr>
          <w:rFonts w:ascii="Times New Roman" w:hAnsi="Times New Roman" w:eastAsia="方正仿宋_GBK" w:cs="Times New Roman"/>
          <w:color w:val="auto"/>
          <w:kern w:val="0"/>
          <w:sz w:val="21"/>
          <w:szCs w:val="21"/>
        </w:rPr>
        <w:t>1.2.1 本招标项目的资金来源：见投标人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26"/>
    </w:p>
    <w:p w14:paraId="51AAB0B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7" w:name="_Toc18137"/>
      <w:r>
        <w:rPr>
          <w:rFonts w:ascii="Times New Roman" w:hAnsi="Times New Roman" w:eastAsia="方正仿宋_GBK" w:cs="Times New Roman"/>
          <w:color w:val="auto"/>
          <w:kern w:val="0"/>
          <w:sz w:val="21"/>
          <w:szCs w:val="21"/>
        </w:rPr>
        <w:t>1.2.2 本招标项目的资金落实情况：见投标人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27"/>
    </w:p>
    <w:p w14:paraId="1C495E9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8" w:name="_Toc317863425"/>
      <w:bookmarkStart w:id="29" w:name="_Toc200513129"/>
      <w:bookmarkStart w:id="30" w:name="_Toc334774167"/>
      <w:bookmarkStart w:id="31" w:name="_Toc21275"/>
      <w:bookmarkStart w:id="32" w:name="_Toc23990"/>
      <w:bookmarkStart w:id="33" w:name="_Toc325636583"/>
      <w:bookmarkStart w:id="34" w:name="_Toc531594738"/>
      <w:r>
        <w:rPr>
          <w:rFonts w:ascii="Times New Roman" w:hAnsi="Times New Roman" w:eastAsia="方正仿宋_GBK" w:cs="Times New Roman"/>
          <w:b/>
          <w:color w:val="auto"/>
          <w:kern w:val="0"/>
          <w:sz w:val="21"/>
          <w:szCs w:val="21"/>
        </w:rPr>
        <w:t>1.3 招标</w:t>
      </w:r>
      <w:bookmarkEnd w:id="28"/>
      <w:bookmarkEnd w:id="29"/>
      <w:r>
        <w:rPr>
          <w:rFonts w:ascii="Times New Roman" w:hAnsi="Times New Roman" w:eastAsia="方正仿宋_GBK" w:cs="Times New Roman"/>
          <w:b/>
          <w:color w:val="auto"/>
          <w:kern w:val="0"/>
          <w:sz w:val="21"/>
          <w:szCs w:val="21"/>
        </w:rPr>
        <w:t>内容</w:t>
      </w:r>
      <w:bookmarkEnd w:id="30"/>
      <w:bookmarkEnd w:id="31"/>
      <w:bookmarkEnd w:id="32"/>
      <w:bookmarkEnd w:id="33"/>
      <w:bookmarkEnd w:id="34"/>
    </w:p>
    <w:p w14:paraId="45BF0DC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5" w:name="_Toc26396"/>
      <w:r>
        <w:rPr>
          <w:rFonts w:ascii="Times New Roman" w:hAnsi="Times New Roman" w:eastAsia="方正仿宋_GBK" w:cs="Times New Roman"/>
          <w:color w:val="auto"/>
          <w:kern w:val="0"/>
          <w:sz w:val="21"/>
          <w:szCs w:val="21"/>
        </w:rPr>
        <w:t>1.3.1 本次招标范围：见投标人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35"/>
    </w:p>
    <w:p w14:paraId="4D80E20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6" w:name="_Toc27428"/>
      <w:r>
        <w:rPr>
          <w:rFonts w:ascii="Times New Roman" w:hAnsi="Times New Roman" w:eastAsia="方正仿宋_GBK" w:cs="Times New Roman"/>
          <w:color w:val="auto"/>
          <w:kern w:val="0"/>
          <w:sz w:val="21"/>
          <w:szCs w:val="21"/>
        </w:rPr>
        <w:t>1.3.2 交货方式、交货时间：见投标人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36"/>
    </w:p>
    <w:p w14:paraId="646C636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7" w:name="_Toc8145"/>
      <w:r>
        <w:rPr>
          <w:rFonts w:ascii="Times New Roman" w:hAnsi="Times New Roman" w:eastAsia="方正仿宋_GBK" w:cs="Times New Roman"/>
          <w:color w:val="auto"/>
          <w:kern w:val="0"/>
          <w:sz w:val="21"/>
          <w:szCs w:val="21"/>
        </w:rPr>
        <w:t>1.3.3 伴随服务要求：见投标人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37"/>
    </w:p>
    <w:p w14:paraId="2D2F964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8" w:name="_Toc6958"/>
      <w:r>
        <w:rPr>
          <w:rFonts w:ascii="Times New Roman" w:hAnsi="Times New Roman" w:eastAsia="方正仿宋_GBK" w:cs="Times New Roman"/>
          <w:color w:val="auto"/>
          <w:kern w:val="0"/>
          <w:sz w:val="21"/>
          <w:szCs w:val="21"/>
        </w:rPr>
        <w:t>1.3.4 质量保证期：见投标人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38"/>
    </w:p>
    <w:p w14:paraId="15A6074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9" w:name="_Toc2516"/>
      <w:r>
        <w:rPr>
          <w:rFonts w:ascii="Times New Roman" w:hAnsi="Times New Roman" w:eastAsia="方正仿宋_GBK" w:cs="Times New Roman"/>
          <w:color w:val="auto"/>
          <w:kern w:val="0"/>
          <w:sz w:val="21"/>
          <w:szCs w:val="21"/>
        </w:rPr>
        <w:t>1.3.5 质量要求：见投标人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39"/>
    </w:p>
    <w:p w14:paraId="1D71F99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0" w:name="_Toc21726"/>
      <w:r>
        <w:rPr>
          <w:rFonts w:ascii="Times New Roman" w:hAnsi="Times New Roman" w:eastAsia="方正仿宋_GBK" w:cs="Times New Roman"/>
          <w:color w:val="auto"/>
          <w:kern w:val="0"/>
          <w:sz w:val="21"/>
          <w:szCs w:val="21"/>
        </w:rPr>
        <w:t>1.3.6 售后服务：见投标人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40"/>
    </w:p>
    <w:p w14:paraId="38803A8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1" w:name="_Toc17216"/>
      <w:r>
        <w:rPr>
          <w:rFonts w:ascii="Times New Roman" w:hAnsi="Times New Roman" w:eastAsia="方正仿宋_GBK" w:cs="Times New Roman"/>
          <w:color w:val="auto"/>
          <w:kern w:val="0"/>
          <w:sz w:val="21"/>
          <w:szCs w:val="21"/>
        </w:rPr>
        <w:t>1.3.7 项目验收：见投标人</w:t>
      </w:r>
      <w:r>
        <w:rPr>
          <w:rFonts w:hint="eastAsia" w:ascii="Times New Roman" w:hAnsi="Times New Roman" w:eastAsia="方正仿宋_GBK" w:cs="Times New Roman"/>
          <w:color w:val="auto"/>
          <w:kern w:val="0"/>
          <w:sz w:val="21"/>
          <w:szCs w:val="21"/>
        </w:rPr>
        <w:t>须知</w:t>
      </w:r>
      <w:r>
        <w:rPr>
          <w:rFonts w:ascii="Times New Roman" w:hAnsi="Times New Roman" w:eastAsia="方正仿宋_GBK" w:cs="Times New Roman"/>
          <w:color w:val="auto"/>
          <w:kern w:val="0"/>
          <w:sz w:val="21"/>
          <w:szCs w:val="21"/>
        </w:rPr>
        <w:t>前附表。</w:t>
      </w:r>
      <w:bookmarkEnd w:id="41"/>
    </w:p>
    <w:p w14:paraId="2A51CA0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42" w:name="_Toc3143"/>
      <w:r>
        <w:rPr>
          <w:rFonts w:ascii="Times New Roman" w:hAnsi="Times New Roman" w:eastAsia="方正仿宋_GBK" w:cs="Times New Roman"/>
          <w:b/>
          <w:color w:val="auto"/>
          <w:kern w:val="0"/>
          <w:sz w:val="21"/>
          <w:szCs w:val="21"/>
        </w:rPr>
        <w:t>1.4 投标人资格要求</w:t>
      </w:r>
      <w:bookmarkEnd w:id="14"/>
      <w:bookmarkEnd w:id="15"/>
      <w:bookmarkEnd w:id="16"/>
      <w:bookmarkEnd w:id="17"/>
      <w:bookmarkEnd w:id="42"/>
    </w:p>
    <w:p w14:paraId="1EC0FE0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3" w:name="_Toc11420"/>
      <w:r>
        <w:rPr>
          <w:rFonts w:ascii="Times New Roman" w:hAnsi="Times New Roman" w:eastAsia="方正仿宋_GBK" w:cs="Times New Roman"/>
          <w:color w:val="auto"/>
          <w:kern w:val="0"/>
          <w:sz w:val="21"/>
          <w:szCs w:val="21"/>
        </w:rPr>
        <w:t>1.4.1 投标人应具备承担本项目的资质条件、能力和信誉。</w:t>
      </w:r>
      <w:bookmarkEnd w:id="43"/>
    </w:p>
    <w:p w14:paraId="6CDD6FC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4" w:name="_Toc29075"/>
      <w:r>
        <w:rPr>
          <w:rFonts w:ascii="Times New Roman" w:hAnsi="Times New Roman" w:eastAsia="方正仿宋_GBK" w:cs="Times New Roman"/>
          <w:color w:val="auto"/>
          <w:kern w:val="0"/>
          <w:sz w:val="21"/>
          <w:szCs w:val="21"/>
        </w:rPr>
        <w:t>1.4.2 本项目不接受联合体投标。</w:t>
      </w:r>
      <w:bookmarkEnd w:id="44"/>
    </w:p>
    <w:p w14:paraId="061662C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5" w:name="_Toc10297"/>
      <w:r>
        <w:rPr>
          <w:rFonts w:ascii="Times New Roman" w:hAnsi="Times New Roman" w:eastAsia="方正仿宋_GBK" w:cs="Times New Roman"/>
          <w:color w:val="auto"/>
          <w:kern w:val="0"/>
          <w:sz w:val="21"/>
          <w:szCs w:val="21"/>
        </w:rPr>
        <w:t>1.4.3 投标人不得存在下列情形之一：</w:t>
      </w:r>
      <w:bookmarkEnd w:id="45"/>
    </w:p>
    <w:p w14:paraId="23D8A11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6" w:name="_Toc19797"/>
      <w:r>
        <w:rPr>
          <w:rFonts w:ascii="Times New Roman" w:hAnsi="Times New Roman" w:eastAsia="方正仿宋_GBK" w:cs="Times New Roman"/>
          <w:color w:val="auto"/>
          <w:kern w:val="0"/>
          <w:sz w:val="21"/>
          <w:szCs w:val="21"/>
        </w:rPr>
        <w:t>1.4.3.1 与国有资金投资或国家融资项目的招标人或招标代理机构有控股关系；</w:t>
      </w:r>
      <w:bookmarkEnd w:id="46"/>
    </w:p>
    <w:p w14:paraId="48A8FB0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7" w:name="_Toc13762"/>
      <w:r>
        <w:rPr>
          <w:rFonts w:ascii="Times New Roman" w:hAnsi="Times New Roman" w:eastAsia="方正仿宋_GBK" w:cs="Times New Roman"/>
          <w:color w:val="auto"/>
          <w:kern w:val="0"/>
          <w:sz w:val="21"/>
          <w:szCs w:val="21"/>
        </w:rPr>
        <w:t>1.4.3.2 单位负责人为同一人或者存在控股、管理关系的不同单位，不得参加同一标段投标或者未划分标段的同一招标项目投标。</w:t>
      </w:r>
      <w:bookmarkEnd w:id="47"/>
    </w:p>
    <w:p w14:paraId="15B2DE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8" w:name="_Toc7277"/>
      <w:r>
        <w:rPr>
          <w:rFonts w:ascii="Times New Roman" w:hAnsi="Times New Roman" w:eastAsia="方正仿宋_GBK" w:cs="Times New Roman"/>
          <w:color w:val="auto"/>
          <w:kern w:val="0"/>
          <w:sz w:val="21"/>
          <w:szCs w:val="21"/>
        </w:rPr>
        <w:t>1.4.3.3 为参加同一招标项目投标的其他投标人编制投标文件或提供咨询服务；</w:t>
      </w:r>
      <w:bookmarkEnd w:id="48"/>
    </w:p>
    <w:p w14:paraId="0A1B806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49" w:name="_Toc21259"/>
      <w:r>
        <w:rPr>
          <w:rFonts w:ascii="Times New Roman" w:hAnsi="Times New Roman" w:eastAsia="方正仿宋_GBK" w:cs="Times New Roman"/>
          <w:color w:val="auto"/>
          <w:kern w:val="0"/>
          <w:sz w:val="21"/>
          <w:szCs w:val="21"/>
        </w:rPr>
        <w:t>1.4.3.4 被有关行政部门暂停投标资格期限未满。</w:t>
      </w:r>
      <w:bookmarkEnd w:id="49"/>
    </w:p>
    <w:p w14:paraId="5C1A906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50" w:name="_Toc325636585"/>
      <w:bookmarkStart w:id="51" w:name="_Toc17569"/>
      <w:bookmarkStart w:id="52" w:name="_Toc531594740"/>
      <w:bookmarkStart w:id="53" w:name="_Toc200513132"/>
      <w:bookmarkStart w:id="54" w:name="_Toc20480"/>
      <w:bookmarkStart w:id="55" w:name="_Toc334774169"/>
      <w:bookmarkStart w:id="56" w:name="_Toc317863427"/>
      <w:r>
        <w:rPr>
          <w:rFonts w:ascii="Times New Roman" w:hAnsi="Times New Roman" w:eastAsia="方正仿宋_GBK" w:cs="Times New Roman"/>
          <w:b/>
          <w:color w:val="auto"/>
          <w:kern w:val="0"/>
          <w:sz w:val="21"/>
          <w:szCs w:val="21"/>
        </w:rPr>
        <w:t>1.5 费用承担</w:t>
      </w:r>
      <w:bookmarkEnd w:id="50"/>
      <w:bookmarkEnd w:id="51"/>
      <w:bookmarkEnd w:id="52"/>
      <w:bookmarkEnd w:id="53"/>
      <w:bookmarkEnd w:id="54"/>
      <w:bookmarkEnd w:id="55"/>
      <w:bookmarkEnd w:id="56"/>
    </w:p>
    <w:p w14:paraId="022322E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57" w:name="_Toc5286"/>
      <w:r>
        <w:rPr>
          <w:rFonts w:ascii="Times New Roman" w:hAnsi="Times New Roman" w:eastAsia="方正仿宋_GBK" w:cs="Times New Roman"/>
          <w:color w:val="auto"/>
          <w:kern w:val="0"/>
          <w:sz w:val="21"/>
          <w:szCs w:val="21"/>
        </w:rPr>
        <w:t>不论投标结果如何，投标人应自行承担其准备和参加本投标活动所涉及的一切费用。</w:t>
      </w:r>
      <w:bookmarkEnd w:id="57"/>
    </w:p>
    <w:p w14:paraId="18FEBD1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58" w:name="_Toc334774170"/>
      <w:bookmarkStart w:id="59" w:name="_Toc325636586"/>
      <w:bookmarkStart w:id="60" w:name="_Toc200513133"/>
      <w:bookmarkStart w:id="61" w:name="_Toc31320"/>
      <w:bookmarkStart w:id="62" w:name="_Toc317863428"/>
      <w:r>
        <w:rPr>
          <w:rFonts w:ascii="Times New Roman" w:hAnsi="Times New Roman" w:eastAsia="方正仿宋_GBK" w:cs="Times New Roman"/>
          <w:b/>
          <w:color w:val="auto"/>
          <w:kern w:val="0"/>
          <w:sz w:val="21"/>
          <w:szCs w:val="21"/>
        </w:rPr>
        <w:t>1.6 保密</w:t>
      </w:r>
      <w:bookmarkEnd w:id="58"/>
      <w:bookmarkEnd w:id="59"/>
      <w:bookmarkEnd w:id="60"/>
      <w:bookmarkEnd w:id="61"/>
      <w:bookmarkEnd w:id="62"/>
    </w:p>
    <w:p w14:paraId="7FA874D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63" w:name="_Toc15299"/>
      <w:r>
        <w:rPr>
          <w:rFonts w:ascii="Times New Roman" w:hAnsi="Times New Roman" w:eastAsia="方正仿宋_GBK" w:cs="Times New Roman"/>
          <w:color w:val="auto"/>
          <w:kern w:val="0"/>
          <w:sz w:val="21"/>
          <w:szCs w:val="21"/>
        </w:rPr>
        <w:t>参与招标投标活动的各方应对招标文件和投标文件中的商业和技术等秘密保密，违者应对由此造成的后果承担法律责任。</w:t>
      </w:r>
      <w:bookmarkEnd w:id="63"/>
    </w:p>
    <w:p w14:paraId="7C97655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64" w:name="_Toc19952"/>
      <w:bookmarkStart w:id="65" w:name="_Toc334774171"/>
      <w:bookmarkStart w:id="66" w:name="_Toc200513134"/>
      <w:bookmarkStart w:id="67" w:name="_Toc531594741"/>
      <w:bookmarkStart w:id="68" w:name="_Toc317863429"/>
      <w:bookmarkStart w:id="69" w:name="_Toc325636587"/>
      <w:bookmarkStart w:id="70" w:name="_Toc14252"/>
      <w:r>
        <w:rPr>
          <w:rFonts w:ascii="Times New Roman" w:hAnsi="Times New Roman" w:eastAsia="方正仿宋_GBK" w:cs="Times New Roman"/>
          <w:b/>
          <w:color w:val="auto"/>
          <w:kern w:val="0"/>
          <w:sz w:val="21"/>
          <w:szCs w:val="21"/>
        </w:rPr>
        <w:t>1.7 语言文字</w:t>
      </w:r>
      <w:bookmarkEnd w:id="64"/>
      <w:bookmarkEnd w:id="65"/>
      <w:bookmarkEnd w:id="66"/>
      <w:bookmarkEnd w:id="67"/>
      <w:bookmarkEnd w:id="68"/>
      <w:bookmarkEnd w:id="69"/>
      <w:bookmarkEnd w:id="70"/>
    </w:p>
    <w:p w14:paraId="5718E4B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71" w:name="_Toc31843"/>
      <w:r>
        <w:rPr>
          <w:rFonts w:ascii="Times New Roman" w:hAnsi="Times New Roman" w:eastAsia="方正仿宋_GBK" w:cs="Times New Roman"/>
          <w:color w:val="auto"/>
          <w:kern w:val="0"/>
          <w:sz w:val="21"/>
          <w:szCs w:val="21"/>
        </w:rPr>
        <w:t>除专用术语外，与招标投标有关的语言均使用中文。必要时专用术语应附有中文注释。</w:t>
      </w:r>
      <w:bookmarkEnd w:id="71"/>
    </w:p>
    <w:p w14:paraId="710B66B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72" w:name="_Toc23060"/>
      <w:bookmarkStart w:id="73" w:name="_Toc200513135"/>
      <w:bookmarkStart w:id="74" w:name="_Toc16650"/>
      <w:bookmarkStart w:id="75" w:name="_Toc531594742"/>
      <w:bookmarkStart w:id="76" w:name="_Toc334774172"/>
      <w:bookmarkStart w:id="77" w:name="_Toc317863430"/>
      <w:bookmarkStart w:id="78" w:name="_Toc325636588"/>
      <w:r>
        <w:rPr>
          <w:rFonts w:ascii="Times New Roman" w:hAnsi="Times New Roman" w:eastAsia="方正仿宋_GBK" w:cs="Times New Roman"/>
          <w:b/>
          <w:color w:val="auto"/>
          <w:kern w:val="0"/>
          <w:sz w:val="21"/>
          <w:szCs w:val="21"/>
        </w:rPr>
        <w:t>1.8 计量单位</w:t>
      </w:r>
      <w:bookmarkEnd w:id="72"/>
      <w:bookmarkEnd w:id="73"/>
      <w:bookmarkEnd w:id="74"/>
      <w:bookmarkEnd w:id="75"/>
      <w:bookmarkEnd w:id="76"/>
      <w:bookmarkEnd w:id="77"/>
      <w:bookmarkEnd w:id="78"/>
    </w:p>
    <w:p w14:paraId="5D71898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79" w:name="_Toc32242"/>
      <w:r>
        <w:rPr>
          <w:rFonts w:ascii="Times New Roman" w:hAnsi="Times New Roman" w:eastAsia="方正仿宋_GBK" w:cs="Times New Roman"/>
          <w:color w:val="auto"/>
          <w:kern w:val="0"/>
          <w:sz w:val="21"/>
          <w:szCs w:val="21"/>
        </w:rPr>
        <w:t>所有计量均采用中华人民共和国法定计量单位。</w:t>
      </w:r>
      <w:bookmarkEnd w:id="79"/>
    </w:p>
    <w:p w14:paraId="67B6A9E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80" w:name="_Toc23097"/>
      <w:bookmarkStart w:id="81" w:name="_Toc334774173"/>
      <w:bookmarkStart w:id="82" w:name="_Toc317863431"/>
      <w:bookmarkStart w:id="83" w:name="_Toc200513136"/>
      <w:bookmarkStart w:id="84" w:name="_Toc26520"/>
      <w:bookmarkStart w:id="85" w:name="_Toc531594743"/>
      <w:bookmarkStart w:id="86" w:name="_Toc325636589"/>
      <w:r>
        <w:rPr>
          <w:rFonts w:ascii="Times New Roman" w:hAnsi="Times New Roman" w:eastAsia="方正仿宋_GBK" w:cs="Times New Roman"/>
          <w:b/>
          <w:color w:val="auto"/>
          <w:kern w:val="0"/>
          <w:sz w:val="21"/>
          <w:szCs w:val="21"/>
        </w:rPr>
        <w:t>1.9 踏勘现场</w:t>
      </w:r>
      <w:bookmarkEnd w:id="80"/>
      <w:bookmarkEnd w:id="81"/>
      <w:bookmarkEnd w:id="82"/>
      <w:bookmarkEnd w:id="83"/>
      <w:bookmarkEnd w:id="84"/>
      <w:bookmarkEnd w:id="85"/>
      <w:bookmarkEnd w:id="86"/>
    </w:p>
    <w:p w14:paraId="65A01DC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87" w:name="_Toc12722"/>
      <w:r>
        <w:rPr>
          <w:rFonts w:ascii="Times New Roman" w:hAnsi="Times New Roman" w:eastAsia="方正仿宋_GBK" w:cs="Times New Roman"/>
          <w:color w:val="auto"/>
          <w:kern w:val="0"/>
          <w:sz w:val="21"/>
          <w:szCs w:val="21"/>
        </w:rPr>
        <w:t>由投标人自行踏勘现场。</w:t>
      </w:r>
      <w:bookmarkEnd w:id="87"/>
    </w:p>
    <w:p w14:paraId="4AA2B9C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88" w:name="_Toc23176"/>
      <w:r>
        <w:rPr>
          <w:rFonts w:ascii="Times New Roman" w:hAnsi="Times New Roman" w:eastAsia="方正仿宋_GBK" w:cs="Times New Roman"/>
          <w:b/>
          <w:color w:val="auto"/>
          <w:kern w:val="0"/>
          <w:sz w:val="21"/>
          <w:szCs w:val="21"/>
        </w:rPr>
        <w:t>1.10 投标预备会</w:t>
      </w:r>
      <w:bookmarkEnd w:id="88"/>
    </w:p>
    <w:p w14:paraId="5FBEBFE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89" w:name="_Toc13744"/>
      <w:r>
        <w:rPr>
          <w:rFonts w:ascii="Times New Roman" w:hAnsi="Times New Roman" w:eastAsia="方正仿宋_GBK" w:cs="Times New Roman"/>
          <w:color w:val="auto"/>
          <w:kern w:val="0"/>
          <w:sz w:val="21"/>
          <w:szCs w:val="21"/>
        </w:rPr>
        <w:t>本项目不组织投标预备会。</w:t>
      </w:r>
      <w:bookmarkEnd w:id="89"/>
    </w:p>
    <w:p w14:paraId="33D4868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90" w:name="_Toc19903"/>
      <w:bookmarkStart w:id="91" w:name="_Toc531594746"/>
      <w:bookmarkStart w:id="92" w:name="_Toc334774176"/>
      <w:bookmarkStart w:id="93" w:name="_Toc325636593"/>
      <w:bookmarkStart w:id="94" w:name="_Toc14573"/>
      <w:bookmarkStart w:id="95" w:name="_Toc317863435"/>
      <w:r>
        <w:rPr>
          <w:rFonts w:ascii="Times New Roman" w:hAnsi="Times New Roman" w:eastAsia="方正仿宋_GBK" w:cs="Times New Roman"/>
          <w:b/>
          <w:color w:val="auto"/>
          <w:kern w:val="0"/>
          <w:sz w:val="21"/>
          <w:szCs w:val="21"/>
        </w:rPr>
        <w:t>1.11 偏离</w:t>
      </w:r>
      <w:bookmarkEnd w:id="90"/>
      <w:bookmarkEnd w:id="91"/>
      <w:bookmarkEnd w:id="92"/>
      <w:bookmarkEnd w:id="93"/>
      <w:bookmarkEnd w:id="94"/>
      <w:bookmarkEnd w:id="95"/>
    </w:p>
    <w:p w14:paraId="7B3A278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96" w:name="_Toc28684"/>
      <w:r>
        <w:rPr>
          <w:rFonts w:ascii="Times New Roman" w:hAnsi="Times New Roman" w:eastAsia="方正仿宋_GBK" w:cs="Times New Roman"/>
          <w:color w:val="auto"/>
          <w:kern w:val="0"/>
          <w:sz w:val="21"/>
          <w:szCs w:val="21"/>
        </w:rPr>
        <w:t>投标人</w:t>
      </w:r>
      <w:r>
        <w:rPr>
          <w:rFonts w:hint="eastAsia" w:ascii="Times New Roman" w:hAnsi="Times New Roman" w:eastAsia="方正仿宋_GBK" w:cs="Times New Roman"/>
          <w:color w:val="auto"/>
          <w:kern w:val="0"/>
          <w:sz w:val="21"/>
          <w:szCs w:val="21"/>
        </w:rPr>
        <w:t>须</w:t>
      </w:r>
      <w:r>
        <w:rPr>
          <w:rFonts w:ascii="Times New Roman" w:hAnsi="Times New Roman" w:eastAsia="方正仿宋_GBK" w:cs="Times New Roman"/>
          <w:color w:val="auto"/>
          <w:kern w:val="0"/>
          <w:sz w:val="21"/>
          <w:szCs w:val="21"/>
        </w:rPr>
        <w:t>知前附表允许投标文件偏离招标文件某些要求的，偏离应当符合招标文件规定的偏离范围和幅度。</w:t>
      </w:r>
      <w:bookmarkEnd w:id="96"/>
    </w:p>
    <w:p w14:paraId="010A9C18">
      <w:pPr>
        <w:autoSpaceDE w:val="0"/>
        <w:autoSpaceDN w:val="0"/>
        <w:adjustRightInd w:val="0"/>
        <w:snapToGrid w:val="0"/>
        <w:spacing w:line="240" w:lineRule="exact"/>
        <w:ind w:firstLine="414" w:firstLineChars="200"/>
        <w:jc w:val="left"/>
        <w:outlineLvl w:val="2"/>
        <w:rPr>
          <w:rFonts w:ascii="Times New Roman" w:hAnsi="Times New Roman" w:eastAsia="方正楷体_GBK" w:cs="Times New Roman"/>
          <w:b/>
          <w:color w:val="auto"/>
          <w:w w:val="99"/>
          <w:kern w:val="0"/>
          <w:sz w:val="21"/>
          <w:szCs w:val="21"/>
          <w:lang w:val="zh-CN"/>
        </w:rPr>
      </w:pPr>
      <w:bookmarkStart w:id="97" w:name="_Toc334774177"/>
      <w:bookmarkStart w:id="98" w:name="_Toc531594747"/>
      <w:bookmarkStart w:id="99" w:name="_Toc200513140"/>
      <w:bookmarkStart w:id="100" w:name="_Toc778"/>
      <w:bookmarkStart w:id="101" w:name="_Toc19290"/>
      <w:bookmarkStart w:id="102" w:name="_Toc317863436"/>
      <w:r>
        <w:rPr>
          <w:rFonts w:ascii="Times New Roman" w:hAnsi="Times New Roman" w:eastAsia="方正楷体_GBK" w:cs="Times New Roman"/>
          <w:b/>
          <w:color w:val="auto"/>
          <w:w w:val="99"/>
          <w:kern w:val="0"/>
          <w:sz w:val="21"/>
          <w:szCs w:val="21"/>
          <w:lang w:val="zh-CN"/>
        </w:rPr>
        <w:t>2.招标文件</w:t>
      </w:r>
      <w:bookmarkEnd w:id="97"/>
      <w:bookmarkEnd w:id="98"/>
      <w:bookmarkEnd w:id="99"/>
      <w:bookmarkEnd w:id="100"/>
      <w:bookmarkEnd w:id="101"/>
      <w:bookmarkEnd w:id="102"/>
    </w:p>
    <w:p w14:paraId="0F12ED8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03" w:name="_Toc200513141"/>
      <w:bookmarkStart w:id="104" w:name="_Toc325636595"/>
      <w:bookmarkStart w:id="105" w:name="_Toc334774178"/>
      <w:bookmarkStart w:id="106" w:name="_Toc11744"/>
      <w:bookmarkStart w:id="107" w:name="_Toc317863437"/>
      <w:bookmarkStart w:id="108" w:name="_Toc531594748"/>
      <w:bookmarkStart w:id="109" w:name="_Toc32194"/>
      <w:r>
        <w:rPr>
          <w:rFonts w:ascii="Times New Roman" w:hAnsi="Times New Roman" w:eastAsia="方正仿宋_GBK" w:cs="Times New Roman"/>
          <w:b/>
          <w:color w:val="auto"/>
          <w:kern w:val="0"/>
          <w:sz w:val="21"/>
          <w:szCs w:val="21"/>
        </w:rPr>
        <w:t>2.1 招标文件的组成</w:t>
      </w:r>
      <w:bookmarkEnd w:id="103"/>
      <w:bookmarkEnd w:id="104"/>
      <w:bookmarkEnd w:id="105"/>
      <w:bookmarkEnd w:id="106"/>
      <w:bookmarkEnd w:id="107"/>
      <w:bookmarkEnd w:id="108"/>
      <w:bookmarkEnd w:id="109"/>
    </w:p>
    <w:p w14:paraId="64303A3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10" w:name="_Toc1454"/>
      <w:r>
        <w:rPr>
          <w:rFonts w:ascii="Times New Roman" w:hAnsi="Times New Roman" w:eastAsia="方正仿宋_GBK" w:cs="Times New Roman"/>
          <w:color w:val="auto"/>
          <w:kern w:val="0"/>
          <w:sz w:val="21"/>
          <w:szCs w:val="21"/>
        </w:rPr>
        <w:t>本招标文件包括：</w:t>
      </w:r>
      <w:bookmarkEnd w:id="110"/>
    </w:p>
    <w:p w14:paraId="2935A52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11" w:name="_Toc10767"/>
      <w:r>
        <w:rPr>
          <w:rFonts w:ascii="Times New Roman" w:hAnsi="Times New Roman" w:eastAsia="方正仿宋_GBK" w:cs="Times New Roman"/>
          <w:color w:val="auto"/>
          <w:kern w:val="0"/>
          <w:sz w:val="21"/>
          <w:szCs w:val="21"/>
        </w:rPr>
        <w:t>（1）招标公告；</w:t>
      </w:r>
      <w:bookmarkEnd w:id="111"/>
    </w:p>
    <w:p w14:paraId="0A0DE3F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12" w:name="_Toc31676"/>
      <w:r>
        <w:rPr>
          <w:rFonts w:ascii="Times New Roman" w:hAnsi="Times New Roman" w:eastAsia="方正仿宋_GBK" w:cs="Times New Roman"/>
          <w:color w:val="auto"/>
          <w:kern w:val="0"/>
          <w:sz w:val="21"/>
          <w:szCs w:val="21"/>
        </w:rPr>
        <w:t>（2）投标人须知；</w:t>
      </w:r>
      <w:bookmarkEnd w:id="112"/>
    </w:p>
    <w:p w14:paraId="51EF854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13" w:name="_Toc17334"/>
      <w:r>
        <w:rPr>
          <w:rFonts w:ascii="Times New Roman" w:hAnsi="Times New Roman" w:eastAsia="方正仿宋_GBK" w:cs="Times New Roman"/>
          <w:color w:val="auto"/>
          <w:kern w:val="0"/>
          <w:sz w:val="21"/>
          <w:szCs w:val="21"/>
        </w:rPr>
        <w:t>（3）技术标准和要求；</w:t>
      </w:r>
      <w:bookmarkEnd w:id="113"/>
    </w:p>
    <w:p w14:paraId="6CD8A2A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14" w:name="_Toc2165"/>
      <w:r>
        <w:rPr>
          <w:rFonts w:ascii="Times New Roman" w:hAnsi="Times New Roman" w:eastAsia="方正仿宋_GBK" w:cs="Times New Roman"/>
          <w:color w:val="auto"/>
          <w:kern w:val="0"/>
          <w:sz w:val="21"/>
          <w:szCs w:val="21"/>
        </w:rPr>
        <w:t>（4）评标办法；</w:t>
      </w:r>
      <w:bookmarkEnd w:id="114"/>
    </w:p>
    <w:p w14:paraId="4DE49A7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15" w:name="_Toc10531"/>
      <w:r>
        <w:rPr>
          <w:rFonts w:ascii="Times New Roman" w:hAnsi="Times New Roman" w:eastAsia="方正仿宋_GBK" w:cs="Times New Roman"/>
          <w:color w:val="auto"/>
          <w:kern w:val="0"/>
          <w:sz w:val="21"/>
          <w:szCs w:val="21"/>
        </w:rPr>
        <w:t>（5）投标文件格式；</w:t>
      </w:r>
      <w:bookmarkEnd w:id="115"/>
    </w:p>
    <w:p w14:paraId="5605965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16" w:name="_Toc27529"/>
      <w:r>
        <w:rPr>
          <w:rFonts w:ascii="Times New Roman" w:hAnsi="Times New Roman" w:eastAsia="方正仿宋_GBK" w:cs="Times New Roman"/>
          <w:color w:val="auto"/>
          <w:kern w:val="0"/>
          <w:sz w:val="21"/>
          <w:szCs w:val="21"/>
        </w:rPr>
        <w:t>根据本章第1.10款、第2.2款和第2.3款对招标文件所</w:t>
      </w:r>
      <w:r>
        <w:rPr>
          <w:rFonts w:hint="eastAsia" w:ascii="Times New Roman" w:hAnsi="Times New Roman" w:eastAsia="方正仿宋_GBK" w:cs="Times New Roman"/>
          <w:color w:val="auto"/>
          <w:kern w:val="0"/>
          <w:sz w:val="21"/>
          <w:szCs w:val="21"/>
        </w:rPr>
        <w:t>做</w:t>
      </w:r>
      <w:r>
        <w:rPr>
          <w:rFonts w:ascii="Times New Roman" w:hAnsi="Times New Roman" w:eastAsia="方正仿宋_GBK" w:cs="Times New Roman"/>
          <w:color w:val="auto"/>
          <w:kern w:val="0"/>
          <w:sz w:val="21"/>
          <w:szCs w:val="21"/>
        </w:rPr>
        <w:t>的澄清、修改，构成招标文件的组成部分。</w:t>
      </w:r>
      <w:bookmarkEnd w:id="116"/>
    </w:p>
    <w:p w14:paraId="2F64CD9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17" w:name="_Toc317863438"/>
      <w:bookmarkStart w:id="118" w:name="_Toc325636596"/>
      <w:bookmarkStart w:id="119" w:name="_Toc334774179"/>
      <w:bookmarkStart w:id="120" w:name="_Toc200513142"/>
      <w:bookmarkStart w:id="121" w:name="_Toc9079"/>
      <w:bookmarkStart w:id="122" w:name="_Toc13635"/>
      <w:bookmarkStart w:id="123" w:name="_Toc531594749"/>
      <w:r>
        <w:rPr>
          <w:rFonts w:ascii="Times New Roman" w:hAnsi="Times New Roman" w:eastAsia="方正仿宋_GBK" w:cs="Times New Roman"/>
          <w:b/>
          <w:color w:val="auto"/>
          <w:kern w:val="0"/>
          <w:sz w:val="21"/>
          <w:szCs w:val="21"/>
        </w:rPr>
        <w:t xml:space="preserve">2.2 </w:t>
      </w:r>
      <w:bookmarkEnd w:id="117"/>
      <w:bookmarkEnd w:id="118"/>
      <w:bookmarkEnd w:id="119"/>
      <w:bookmarkEnd w:id="120"/>
      <w:r>
        <w:rPr>
          <w:rFonts w:ascii="Times New Roman" w:hAnsi="Times New Roman" w:eastAsia="方正仿宋_GBK" w:cs="Times New Roman"/>
          <w:b/>
          <w:color w:val="auto"/>
          <w:kern w:val="0"/>
          <w:sz w:val="21"/>
          <w:szCs w:val="21"/>
        </w:rPr>
        <w:t>对招标文件的疑问</w:t>
      </w:r>
      <w:bookmarkEnd w:id="121"/>
      <w:bookmarkEnd w:id="122"/>
      <w:bookmarkEnd w:id="123"/>
    </w:p>
    <w:p w14:paraId="4930C33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24" w:name="_Toc30975"/>
      <w:r>
        <w:rPr>
          <w:rFonts w:ascii="Times New Roman" w:hAnsi="Times New Roman" w:eastAsia="方正仿宋_GBK" w:cs="Times New Roman"/>
          <w:color w:val="auto"/>
          <w:kern w:val="0"/>
          <w:sz w:val="21"/>
          <w:szCs w:val="21"/>
        </w:rPr>
        <w:t>2.2.1投标人应仔细阅读和检查下载的招标文件的全部内容。如发现缺页或附件不全，应及时向招标人提出，以便补齐。如有疑问，应在投标人须知前附表规定的形式和时间前，通知并要求招标人对招标文件予以澄清。</w:t>
      </w:r>
      <w:bookmarkEnd w:id="124"/>
    </w:p>
    <w:p w14:paraId="6EBF1F1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25" w:name="_Toc29041"/>
      <w:bookmarkStart w:id="126" w:name="_Toc20573"/>
      <w:bookmarkStart w:id="127" w:name="_Toc531594750"/>
      <w:r>
        <w:rPr>
          <w:rFonts w:ascii="Times New Roman" w:hAnsi="Times New Roman" w:eastAsia="方正仿宋_GBK" w:cs="Times New Roman"/>
          <w:b/>
          <w:color w:val="auto"/>
          <w:kern w:val="0"/>
          <w:sz w:val="21"/>
          <w:szCs w:val="21"/>
        </w:rPr>
        <w:t>2.3 招标文件的澄清、修改和答疑</w:t>
      </w:r>
      <w:bookmarkEnd w:id="125"/>
      <w:bookmarkEnd w:id="126"/>
      <w:bookmarkEnd w:id="127"/>
    </w:p>
    <w:p w14:paraId="351912C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28" w:name="_Toc4752"/>
      <w:r>
        <w:rPr>
          <w:rFonts w:ascii="Times New Roman" w:hAnsi="Times New Roman" w:eastAsia="方正仿宋_GBK" w:cs="Times New Roman"/>
          <w:color w:val="auto"/>
          <w:kern w:val="0"/>
          <w:sz w:val="21"/>
          <w:szCs w:val="21"/>
        </w:rPr>
        <w:t>2.3.1 投标人如果有疑问，招标人以须知前附表规定的形式对招标文件澄清、修改和答疑，在重</w:t>
      </w:r>
      <w:r>
        <w:rPr>
          <w:rFonts w:hint="eastAsia" w:ascii="Times New Roman" w:hAnsi="Times New Roman" w:eastAsia="方正仿宋_GBK" w:cs="Times New Roman"/>
          <w:color w:val="auto"/>
          <w:kern w:val="0"/>
          <w:sz w:val="21"/>
          <w:szCs w:val="21"/>
        </w:rPr>
        <w:t>庆</w:t>
      </w:r>
      <w:r>
        <w:rPr>
          <w:rFonts w:ascii="Times New Roman" w:hAnsi="Times New Roman" w:eastAsia="方正仿宋_GBK" w:cs="Times New Roman"/>
          <w:color w:val="auto"/>
          <w:kern w:val="0"/>
          <w:sz w:val="21"/>
          <w:szCs w:val="21"/>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rPr>
        <w:t>查询</w:t>
      </w:r>
      <w:r>
        <w:rPr>
          <w:rFonts w:ascii="Times New Roman" w:hAnsi="Times New Roman" w:eastAsia="方正仿宋_GBK" w:cs="Times New Roman"/>
          <w:color w:val="auto"/>
          <w:kern w:val="0"/>
          <w:sz w:val="21"/>
          <w:szCs w:val="21"/>
        </w:rPr>
        <w:t>通知、修改、答疑等信息，如果投标人疏忽大意，其后果自负。如果澄清、修改和答疑的时间距投标截止时间不足1天，经有关部门同意后通知相应延长投标截止时间。</w:t>
      </w:r>
      <w:bookmarkEnd w:id="128"/>
    </w:p>
    <w:p w14:paraId="1DF1DFD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29" w:name="_Toc17024"/>
      <w:r>
        <w:rPr>
          <w:rFonts w:ascii="Times New Roman" w:hAnsi="Times New Roman" w:eastAsia="方正仿宋_GBK" w:cs="Times New Roman"/>
          <w:color w:val="auto"/>
          <w:kern w:val="0"/>
          <w:sz w:val="21"/>
          <w:szCs w:val="21"/>
        </w:rPr>
        <w:t>2.3.2 投标人网上收到答疑、修改通知后，应按照内容执行，不必确认已收到该修改。</w:t>
      </w:r>
      <w:bookmarkEnd w:id="129"/>
    </w:p>
    <w:p w14:paraId="63241D01">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130" w:name="_Toc531594751"/>
      <w:bookmarkStart w:id="131" w:name="_Toc18374"/>
      <w:bookmarkStart w:id="132" w:name="_Toc8390"/>
      <w:r>
        <w:rPr>
          <w:rFonts w:ascii="Times New Roman" w:hAnsi="Times New Roman" w:eastAsia="方正楷体_GBK" w:cs="Times New Roman"/>
          <w:b/>
          <w:color w:val="auto"/>
          <w:w w:val="99"/>
          <w:kern w:val="0"/>
          <w:sz w:val="21"/>
          <w:szCs w:val="21"/>
          <w:lang w:val="zh-CN"/>
        </w:rPr>
        <w:t>3.投标文件</w:t>
      </w:r>
      <w:bookmarkEnd w:id="130"/>
      <w:bookmarkEnd w:id="131"/>
      <w:bookmarkEnd w:id="132"/>
    </w:p>
    <w:p w14:paraId="7B79A58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33" w:name="_Toc531594752"/>
      <w:bookmarkStart w:id="134" w:name="_Toc1700"/>
      <w:bookmarkStart w:id="135" w:name="_Toc200513145"/>
      <w:bookmarkStart w:id="136" w:name="_Toc325636599"/>
      <w:bookmarkStart w:id="137" w:name="_Toc334774182"/>
      <w:bookmarkStart w:id="138" w:name="_Toc19286"/>
      <w:bookmarkStart w:id="139" w:name="_Toc317863441"/>
      <w:r>
        <w:rPr>
          <w:rFonts w:ascii="Times New Roman" w:hAnsi="Times New Roman" w:eastAsia="方正仿宋_GBK" w:cs="Times New Roman"/>
          <w:b/>
          <w:color w:val="auto"/>
          <w:kern w:val="0"/>
          <w:sz w:val="21"/>
          <w:szCs w:val="21"/>
        </w:rPr>
        <w:t>3.1 投标文件的组成</w:t>
      </w:r>
      <w:bookmarkEnd w:id="133"/>
      <w:bookmarkEnd w:id="134"/>
      <w:bookmarkEnd w:id="135"/>
      <w:bookmarkEnd w:id="136"/>
      <w:bookmarkEnd w:id="137"/>
      <w:bookmarkEnd w:id="138"/>
      <w:bookmarkEnd w:id="139"/>
    </w:p>
    <w:p w14:paraId="04CFF0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40" w:name="_Toc12848"/>
      <w:r>
        <w:rPr>
          <w:rFonts w:ascii="Times New Roman" w:hAnsi="Times New Roman" w:eastAsia="方正仿宋_GBK" w:cs="Times New Roman"/>
          <w:color w:val="auto"/>
          <w:kern w:val="0"/>
          <w:sz w:val="21"/>
          <w:szCs w:val="21"/>
        </w:rPr>
        <w:t>3.1.1 投标函</w:t>
      </w:r>
      <w:bookmarkEnd w:id="140"/>
    </w:p>
    <w:p w14:paraId="3851056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41" w:name="_Toc14986"/>
      <w:r>
        <w:rPr>
          <w:rFonts w:ascii="Times New Roman" w:hAnsi="Times New Roman" w:eastAsia="方正仿宋_GBK" w:cs="Times New Roman"/>
          <w:color w:val="auto"/>
          <w:kern w:val="0"/>
          <w:sz w:val="21"/>
          <w:szCs w:val="21"/>
        </w:rPr>
        <w:t>3.1.2 法定代表人身份证明及授权委托书</w:t>
      </w:r>
      <w:bookmarkEnd w:id="141"/>
    </w:p>
    <w:p w14:paraId="20211BA1">
      <w:pPr>
        <w:autoSpaceDE w:val="0"/>
        <w:autoSpaceDN w:val="0"/>
        <w:adjustRightInd w:val="0"/>
        <w:snapToGrid w:val="0"/>
        <w:spacing w:line="240" w:lineRule="exact"/>
        <w:ind w:firstLine="420" w:firstLineChars="200"/>
        <w:jc w:val="left"/>
        <w:outlineLvl w:val="2"/>
        <w:rPr>
          <w:rFonts w:hint="eastAsia" w:ascii="Times New Roman" w:hAnsi="Times New Roman" w:eastAsia="方正仿宋_GBK" w:cs="Times New Roman"/>
          <w:color w:val="auto"/>
          <w:kern w:val="0"/>
          <w:sz w:val="21"/>
          <w:szCs w:val="21"/>
          <w:lang w:val="en-US" w:eastAsia="zh-CN"/>
        </w:rPr>
      </w:pPr>
      <w:bookmarkStart w:id="142" w:name="_Toc22831"/>
      <w:r>
        <w:rPr>
          <w:rFonts w:ascii="Times New Roman" w:hAnsi="Times New Roman" w:eastAsia="方正仿宋_GBK" w:cs="Times New Roman"/>
          <w:color w:val="auto"/>
          <w:kern w:val="0"/>
          <w:sz w:val="21"/>
          <w:szCs w:val="21"/>
        </w:rPr>
        <w:t xml:space="preserve">3.1.3 </w:t>
      </w:r>
      <w:bookmarkEnd w:id="142"/>
      <w:r>
        <w:rPr>
          <w:rFonts w:ascii="Times New Roman" w:hAnsi="Times New Roman" w:eastAsia="方正仿宋_GBK" w:cs="Times New Roman"/>
          <w:color w:val="auto"/>
          <w:kern w:val="0"/>
          <w:sz w:val="21"/>
          <w:szCs w:val="21"/>
        </w:rPr>
        <w:t>.投标人</w:t>
      </w:r>
      <w:r>
        <w:rPr>
          <w:rFonts w:hint="eastAsia" w:ascii="Times New Roman" w:hAnsi="Times New Roman" w:eastAsia="方正仿宋_GBK" w:cs="Times New Roman"/>
          <w:color w:val="auto"/>
          <w:kern w:val="0"/>
          <w:sz w:val="21"/>
          <w:szCs w:val="21"/>
          <w:lang w:val="en-US" w:eastAsia="zh-CN"/>
        </w:rPr>
        <w:t>资格审查文件</w:t>
      </w:r>
    </w:p>
    <w:p w14:paraId="36C4346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3.1.</w:t>
      </w:r>
      <w:r>
        <w:rPr>
          <w:rFonts w:ascii="Times New Roman" w:hAnsi="Times New Roman" w:eastAsia="方正仿宋_GBK" w:cs="Times New Roman"/>
          <w:color w:val="auto"/>
          <w:kern w:val="0"/>
          <w:sz w:val="21"/>
          <w:szCs w:val="21"/>
        </w:rPr>
        <w:t>4.</w:t>
      </w:r>
      <w:r>
        <w:rPr>
          <w:rFonts w:hint="eastAsia" w:ascii="Times New Roman" w:hAnsi="Times New Roman" w:eastAsia="方正仿宋_GBK" w:cs="Times New Roman"/>
          <w:color w:val="auto"/>
          <w:kern w:val="0"/>
          <w:sz w:val="21"/>
          <w:szCs w:val="21"/>
        </w:rPr>
        <w:t>响应文件</w:t>
      </w:r>
    </w:p>
    <w:p w14:paraId="0CF8FA53">
      <w:pPr>
        <w:autoSpaceDE w:val="0"/>
        <w:autoSpaceDN w:val="0"/>
        <w:adjustRightInd w:val="0"/>
        <w:snapToGrid w:val="0"/>
        <w:spacing w:line="240" w:lineRule="exact"/>
        <w:ind w:firstLine="420" w:firstLineChars="200"/>
        <w:jc w:val="left"/>
        <w:outlineLvl w:val="2"/>
        <w:rPr>
          <w:rFonts w:hint="eastAsia"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3.1.</w:t>
      </w:r>
      <w:r>
        <w:rPr>
          <w:rFonts w:ascii="Times New Roman" w:hAnsi="Times New Roman" w:eastAsia="方正仿宋_GBK" w:cs="Times New Roman"/>
          <w:color w:val="auto"/>
          <w:kern w:val="0"/>
          <w:sz w:val="21"/>
          <w:szCs w:val="21"/>
        </w:rPr>
        <w:t>5.</w:t>
      </w:r>
      <w:r>
        <w:rPr>
          <w:rFonts w:hint="eastAsia" w:ascii="Times New Roman" w:hAnsi="Times New Roman" w:eastAsia="方正仿宋_GBK" w:cs="Times New Roman"/>
          <w:color w:val="auto"/>
          <w:kern w:val="0"/>
          <w:sz w:val="21"/>
          <w:szCs w:val="21"/>
        </w:rPr>
        <w:t>投标文件PDF格式的电子档U盘一份</w:t>
      </w:r>
    </w:p>
    <w:p w14:paraId="20CBD7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3.1.6.招标文件购买费缴纳凭据</w:t>
      </w:r>
    </w:p>
    <w:p w14:paraId="5528BCA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43" w:name="_Toc8606"/>
      <w:r>
        <w:rPr>
          <w:rFonts w:ascii="Times New Roman" w:hAnsi="Times New Roman" w:eastAsia="方正仿宋_GBK" w:cs="Times New Roman"/>
          <w:b/>
          <w:color w:val="auto"/>
          <w:kern w:val="0"/>
          <w:sz w:val="21"/>
          <w:szCs w:val="21"/>
        </w:rPr>
        <w:t>3.2 投标报价</w:t>
      </w:r>
      <w:bookmarkEnd w:id="143"/>
    </w:p>
    <w:p w14:paraId="16DB180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44" w:name="_Toc19148"/>
      <w:r>
        <w:rPr>
          <w:rFonts w:ascii="Times New Roman" w:hAnsi="Times New Roman" w:eastAsia="方正仿宋_GBK" w:cs="Times New Roman"/>
          <w:color w:val="auto"/>
          <w:kern w:val="0"/>
          <w:sz w:val="21"/>
          <w:szCs w:val="21"/>
        </w:rPr>
        <w:t>3.2.1 投标人应按投标人须知前附表及其相关规定填报。</w:t>
      </w:r>
      <w:bookmarkEnd w:id="144"/>
    </w:p>
    <w:p w14:paraId="6E34D26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45" w:name="_Toc317863443"/>
      <w:bookmarkStart w:id="146" w:name="_Toc12196"/>
      <w:bookmarkStart w:id="147" w:name="_Toc334774184"/>
      <w:bookmarkStart w:id="148" w:name="_Toc531594754"/>
      <w:bookmarkStart w:id="149" w:name="_Toc21628"/>
      <w:bookmarkStart w:id="150" w:name="_Toc200513147"/>
      <w:bookmarkStart w:id="151" w:name="_Toc325636601"/>
      <w:r>
        <w:rPr>
          <w:rFonts w:ascii="Times New Roman" w:hAnsi="Times New Roman" w:eastAsia="方正仿宋_GBK" w:cs="Times New Roman"/>
          <w:b/>
          <w:color w:val="auto"/>
          <w:kern w:val="0"/>
          <w:sz w:val="21"/>
          <w:szCs w:val="21"/>
        </w:rPr>
        <w:t>3.3 投标有效期</w:t>
      </w:r>
      <w:bookmarkEnd w:id="145"/>
      <w:bookmarkEnd w:id="146"/>
      <w:bookmarkEnd w:id="147"/>
      <w:bookmarkEnd w:id="148"/>
      <w:bookmarkEnd w:id="149"/>
      <w:bookmarkEnd w:id="150"/>
      <w:bookmarkEnd w:id="151"/>
    </w:p>
    <w:p w14:paraId="7B79874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52" w:name="_Toc16049"/>
      <w:r>
        <w:rPr>
          <w:rFonts w:ascii="Times New Roman" w:hAnsi="Times New Roman" w:eastAsia="方正仿宋_GBK" w:cs="Times New Roman"/>
          <w:color w:val="auto"/>
          <w:kern w:val="0"/>
          <w:sz w:val="21"/>
          <w:szCs w:val="21"/>
        </w:rPr>
        <w:t>3.3.1 在投标人须知前附表规定的投标有效期内，投标人不得要求撤销或修改其投标文件。</w:t>
      </w:r>
      <w:bookmarkEnd w:id="152"/>
    </w:p>
    <w:p w14:paraId="0048577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53" w:name="_Toc25971"/>
      <w:r>
        <w:rPr>
          <w:rFonts w:ascii="Times New Roman" w:hAnsi="Times New Roman" w:eastAsia="方正仿宋_GBK" w:cs="Times New Roman"/>
          <w:color w:val="auto"/>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153"/>
    </w:p>
    <w:p w14:paraId="724F1BA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54" w:name="_Toc334774185"/>
      <w:bookmarkStart w:id="155" w:name="_Toc531594755"/>
      <w:bookmarkStart w:id="156" w:name="_Toc28560"/>
      <w:bookmarkStart w:id="157" w:name="_Toc200513148"/>
      <w:bookmarkStart w:id="158" w:name="_Toc325636602"/>
      <w:bookmarkStart w:id="159" w:name="_Toc3961"/>
      <w:bookmarkStart w:id="160" w:name="_Toc317863444"/>
      <w:r>
        <w:rPr>
          <w:rFonts w:ascii="Times New Roman" w:hAnsi="Times New Roman" w:eastAsia="方正仿宋_GBK" w:cs="Times New Roman"/>
          <w:b/>
          <w:color w:val="auto"/>
          <w:kern w:val="0"/>
          <w:sz w:val="21"/>
          <w:szCs w:val="21"/>
        </w:rPr>
        <w:t>3.4 投标保证金</w:t>
      </w:r>
      <w:bookmarkEnd w:id="154"/>
      <w:bookmarkEnd w:id="155"/>
      <w:bookmarkEnd w:id="156"/>
      <w:bookmarkEnd w:id="157"/>
      <w:bookmarkEnd w:id="158"/>
      <w:bookmarkEnd w:id="159"/>
      <w:bookmarkEnd w:id="160"/>
    </w:p>
    <w:p w14:paraId="5FE4F02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61" w:name="_Toc2863"/>
      <w:r>
        <w:rPr>
          <w:rFonts w:ascii="Times New Roman" w:hAnsi="Times New Roman" w:eastAsia="方正仿宋_GBK" w:cs="Times New Roman"/>
          <w:color w:val="auto"/>
          <w:kern w:val="0"/>
          <w:sz w:val="21"/>
          <w:szCs w:val="21"/>
        </w:rPr>
        <w:t>3.4.1 投标人在递交投标文件的同时，应按“投标人须知前附表”规定的金额、形式缴纳投标保证金，并作为其投标文件的组成部分。</w:t>
      </w:r>
      <w:bookmarkEnd w:id="161"/>
    </w:p>
    <w:p w14:paraId="6CDE9EA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62" w:name="_Toc27815"/>
      <w:r>
        <w:rPr>
          <w:rFonts w:ascii="Times New Roman" w:hAnsi="Times New Roman" w:eastAsia="方正仿宋_GBK" w:cs="Times New Roman"/>
          <w:color w:val="auto"/>
          <w:kern w:val="0"/>
          <w:sz w:val="21"/>
          <w:szCs w:val="21"/>
        </w:rPr>
        <w:t>3.4.2 投标人不按本章第 3.4.1 项要求提交投标保证金的，其投标文件作废标处理。</w:t>
      </w:r>
      <w:bookmarkEnd w:id="162"/>
    </w:p>
    <w:p w14:paraId="337A32C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63" w:name="_Toc17574"/>
      <w:r>
        <w:rPr>
          <w:rFonts w:ascii="Times New Roman" w:hAnsi="Times New Roman" w:eastAsia="方正仿宋_GBK" w:cs="Times New Roman"/>
          <w:color w:val="auto"/>
          <w:kern w:val="0"/>
          <w:sz w:val="21"/>
          <w:szCs w:val="21"/>
        </w:rPr>
        <w:t>3.4.3 招标人</w:t>
      </w:r>
      <w:r>
        <w:rPr>
          <w:rFonts w:hint="eastAsia" w:ascii="Times New Roman" w:hAnsi="Times New Roman" w:eastAsia="方正仿宋_GBK" w:cs="Times New Roman"/>
          <w:color w:val="auto"/>
          <w:kern w:val="0"/>
          <w:sz w:val="21"/>
          <w:szCs w:val="21"/>
        </w:rPr>
        <w:t>现场</w:t>
      </w:r>
      <w:r>
        <w:rPr>
          <w:rFonts w:ascii="Times New Roman" w:hAnsi="Times New Roman" w:eastAsia="方正仿宋_GBK" w:cs="Times New Roman"/>
          <w:color w:val="auto"/>
          <w:kern w:val="0"/>
          <w:sz w:val="21"/>
          <w:szCs w:val="21"/>
        </w:rPr>
        <w:t>退还未列入中标候选人的投标保证金（不计息），招标人与中标人签订合同后10个工作日内，学院向其他中标候选人退还投标保证金（不计息）。</w:t>
      </w:r>
      <w:bookmarkEnd w:id="163"/>
    </w:p>
    <w:p w14:paraId="71FA032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64" w:name="_Toc6374"/>
      <w:r>
        <w:rPr>
          <w:rFonts w:ascii="Times New Roman" w:hAnsi="Times New Roman" w:eastAsia="方正仿宋_GBK" w:cs="Times New Roman"/>
          <w:color w:val="auto"/>
          <w:kern w:val="0"/>
          <w:sz w:val="21"/>
          <w:szCs w:val="21"/>
        </w:rPr>
        <w:t>3.4.4 有下列情形之一的，投标保证金将不予退还：</w:t>
      </w:r>
      <w:bookmarkEnd w:id="164"/>
    </w:p>
    <w:p w14:paraId="1F57143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65" w:name="_Toc21273"/>
      <w:r>
        <w:rPr>
          <w:rFonts w:ascii="Times New Roman" w:hAnsi="Times New Roman" w:eastAsia="方正仿宋_GBK" w:cs="Times New Roman"/>
          <w:color w:val="auto"/>
          <w:kern w:val="0"/>
          <w:sz w:val="21"/>
          <w:szCs w:val="21"/>
        </w:rPr>
        <w:t>3.4.4.1 投标人在规定的投标有效期内撤销或修改其投标文件；</w:t>
      </w:r>
      <w:bookmarkEnd w:id="165"/>
    </w:p>
    <w:p w14:paraId="6AAEFB9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66" w:name="_Toc23704"/>
      <w:r>
        <w:rPr>
          <w:rFonts w:ascii="Times New Roman" w:hAnsi="Times New Roman" w:eastAsia="方正仿宋_GBK" w:cs="Times New Roman"/>
          <w:color w:val="auto"/>
          <w:kern w:val="0"/>
          <w:sz w:val="21"/>
          <w:szCs w:val="21"/>
        </w:rPr>
        <w:t>3.4.4.2 中标人在中标通知书发出3日之内拒绝签订合同，其保证金将不予退还。</w:t>
      </w:r>
      <w:bookmarkEnd w:id="166"/>
    </w:p>
    <w:p w14:paraId="55F77F0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67" w:name="_Toc16642"/>
      <w:r>
        <w:rPr>
          <w:rFonts w:ascii="Times New Roman" w:hAnsi="Times New Roman" w:eastAsia="方正仿宋_GBK" w:cs="Times New Roman"/>
          <w:b/>
          <w:color w:val="auto"/>
          <w:kern w:val="0"/>
          <w:sz w:val="21"/>
          <w:szCs w:val="21"/>
        </w:rPr>
        <w:t>3.5 资格审查资料</w:t>
      </w:r>
      <w:bookmarkEnd w:id="167"/>
    </w:p>
    <w:p w14:paraId="12D0932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68" w:name="_Toc21890"/>
      <w:r>
        <w:rPr>
          <w:rFonts w:ascii="Times New Roman" w:hAnsi="Times New Roman" w:eastAsia="方正仿宋_GBK" w:cs="Times New Roman"/>
          <w:color w:val="auto"/>
          <w:kern w:val="0"/>
          <w:sz w:val="21"/>
          <w:szCs w:val="21"/>
        </w:rPr>
        <w:t>3.5.1 本须知前附表1.4.1条要求的相关资料复印件（需要加盖公章）和投标文件格式要求的内容；</w:t>
      </w:r>
      <w:bookmarkEnd w:id="168"/>
    </w:p>
    <w:p w14:paraId="66A9D25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69" w:name="_Toc317863446"/>
      <w:bookmarkStart w:id="170" w:name="_Toc325636604"/>
      <w:bookmarkStart w:id="171" w:name="_Toc17787"/>
      <w:bookmarkStart w:id="172" w:name="_Toc200513151"/>
      <w:bookmarkStart w:id="173" w:name="_Toc531594756"/>
      <w:bookmarkStart w:id="174" w:name="_Toc7983"/>
      <w:bookmarkStart w:id="175" w:name="_Toc334774187"/>
      <w:r>
        <w:rPr>
          <w:rFonts w:ascii="Times New Roman" w:hAnsi="Times New Roman" w:eastAsia="方正仿宋_GBK" w:cs="Times New Roman"/>
          <w:b/>
          <w:color w:val="auto"/>
          <w:kern w:val="0"/>
          <w:sz w:val="21"/>
          <w:szCs w:val="21"/>
        </w:rPr>
        <w:t>3.6 备选投标</w:t>
      </w:r>
      <w:r>
        <w:rPr>
          <w:rFonts w:hint="eastAsia" w:ascii="Times New Roman" w:hAnsi="Times New Roman" w:eastAsia="方正仿宋_GBK" w:cs="Times New Roman"/>
          <w:b/>
          <w:color w:val="auto"/>
          <w:kern w:val="0"/>
          <w:sz w:val="21"/>
          <w:szCs w:val="21"/>
        </w:rPr>
        <w:t>方</w:t>
      </w:r>
      <w:r>
        <w:rPr>
          <w:rFonts w:ascii="Times New Roman" w:hAnsi="Times New Roman" w:eastAsia="方正仿宋_GBK" w:cs="Times New Roman"/>
          <w:b/>
          <w:color w:val="auto"/>
          <w:kern w:val="0"/>
          <w:sz w:val="21"/>
          <w:szCs w:val="21"/>
        </w:rPr>
        <w:t>案</w:t>
      </w:r>
      <w:bookmarkEnd w:id="169"/>
      <w:bookmarkEnd w:id="170"/>
      <w:bookmarkEnd w:id="171"/>
      <w:bookmarkEnd w:id="172"/>
      <w:bookmarkEnd w:id="173"/>
      <w:bookmarkEnd w:id="174"/>
      <w:bookmarkEnd w:id="175"/>
    </w:p>
    <w:p w14:paraId="1BF78D5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76" w:name="_Toc21781"/>
      <w:r>
        <w:rPr>
          <w:rFonts w:ascii="Times New Roman" w:hAnsi="Times New Roman" w:eastAsia="方正仿宋_GBK" w:cs="Times New Roman"/>
          <w:color w:val="auto"/>
          <w:kern w:val="0"/>
          <w:sz w:val="21"/>
          <w:szCs w:val="21"/>
        </w:rPr>
        <w:t>投标人不得递交备选投标</w:t>
      </w:r>
      <w:r>
        <w:rPr>
          <w:rFonts w:hint="eastAsia" w:ascii="Times New Roman" w:hAnsi="Times New Roman" w:eastAsia="方正仿宋_GBK" w:cs="Times New Roman"/>
          <w:color w:val="auto"/>
          <w:kern w:val="0"/>
          <w:sz w:val="21"/>
          <w:szCs w:val="21"/>
        </w:rPr>
        <w:t>方</w:t>
      </w:r>
      <w:r>
        <w:rPr>
          <w:rFonts w:ascii="Times New Roman" w:hAnsi="Times New Roman" w:eastAsia="方正仿宋_GBK" w:cs="Times New Roman"/>
          <w:color w:val="auto"/>
          <w:kern w:val="0"/>
          <w:sz w:val="21"/>
          <w:szCs w:val="21"/>
        </w:rPr>
        <w:t>案。</w:t>
      </w:r>
      <w:bookmarkEnd w:id="176"/>
    </w:p>
    <w:p w14:paraId="02F69A8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77" w:name="_Toc531594757"/>
      <w:bookmarkStart w:id="178" w:name="_Toc317863447"/>
      <w:bookmarkStart w:id="179" w:name="_Toc4073"/>
      <w:bookmarkStart w:id="180" w:name="_Toc21408"/>
      <w:bookmarkStart w:id="181" w:name="_Toc334774188"/>
      <w:bookmarkStart w:id="182" w:name="_Toc200513152"/>
      <w:bookmarkStart w:id="183" w:name="_Toc325636605"/>
      <w:r>
        <w:rPr>
          <w:rFonts w:ascii="Times New Roman" w:hAnsi="Times New Roman" w:eastAsia="方正仿宋_GBK" w:cs="Times New Roman"/>
          <w:b/>
          <w:color w:val="auto"/>
          <w:kern w:val="0"/>
          <w:sz w:val="21"/>
          <w:szCs w:val="21"/>
        </w:rPr>
        <w:t>3.7 投标文件的编制</w:t>
      </w:r>
      <w:bookmarkEnd w:id="177"/>
      <w:bookmarkEnd w:id="178"/>
      <w:bookmarkEnd w:id="179"/>
      <w:bookmarkEnd w:id="180"/>
      <w:bookmarkEnd w:id="181"/>
      <w:bookmarkEnd w:id="182"/>
      <w:bookmarkEnd w:id="183"/>
    </w:p>
    <w:p w14:paraId="4993D96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84" w:name="_Toc18932"/>
      <w:r>
        <w:rPr>
          <w:rFonts w:ascii="Times New Roman" w:hAnsi="Times New Roman" w:eastAsia="方正仿宋_GBK" w:cs="Times New Roman"/>
          <w:color w:val="auto"/>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bookmarkEnd w:id="184"/>
    </w:p>
    <w:p w14:paraId="4809325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85" w:name="_Toc9710"/>
      <w:r>
        <w:rPr>
          <w:rFonts w:ascii="Times New Roman" w:hAnsi="Times New Roman" w:eastAsia="方正仿宋_GBK" w:cs="Times New Roman"/>
          <w:color w:val="auto"/>
          <w:kern w:val="0"/>
          <w:sz w:val="21"/>
          <w:szCs w:val="21"/>
        </w:rPr>
        <w:t>3.7.2 投标文件应当对招标文件有关工期、投标有效期、质量要求、技术标准和要求、招标范围等实质性内容做出响应。</w:t>
      </w:r>
      <w:bookmarkEnd w:id="185"/>
    </w:p>
    <w:p w14:paraId="23DE361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86" w:name="_Toc22173"/>
      <w:r>
        <w:rPr>
          <w:rFonts w:ascii="Times New Roman" w:hAnsi="Times New Roman" w:eastAsia="方正仿宋_GBK" w:cs="Times New Roman"/>
          <w:color w:val="auto"/>
          <w:kern w:val="0"/>
          <w:sz w:val="21"/>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bookmarkEnd w:id="186"/>
    </w:p>
    <w:p w14:paraId="1ECDC01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87" w:name="_Toc3563"/>
      <w:r>
        <w:rPr>
          <w:rFonts w:ascii="Times New Roman" w:hAnsi="Times New Roman" w:eastAsia="方正仿宋_GBK" w:cs="Times New Roman"/>
          <w:color w:val="auto"/>
          <w:kern w:val="0"/>
          <w:sz w:val="21"/>
          <w:szCs w:val="21"/>
        </w:rPr>
        <w:t>3.7.4 投标文件份数见投标须知前附表。</w:t>
      </w:r>
      <w:bookmarkEnd w:id="187"/>
    </w:p>
    <w:p w14:paraId="564EDA8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88" w:name="_Toc1631"/>
      <w:r>
        <w:rPr>
          <w:rFonts w:ascii="Times New Roman" w:hAnsi="Times New Roman" w:eastAsia="方正仿宋_GBK" w:cs="Times New Roman"/>
          <w:color w:val="auto"/>
          <w:kern w:val="0"/>
          <w:sz w:val="21"/>
          <w:szCs w:val="21"/>
        </w:rPr>
        <w:t>3.7.5 投标文件的正本与副本应分别装订成册，并编制目录，具体装订要求见投标人须知前附表规定。</w:t>
      </w:r>
      <w:bookmarkEnd w:id="188"/>
    </w:p>
    <w:p w14:paraId="2A21E195">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189" w:name="_Toc334774189"/>
      <w:bookmarkStart w:id="190" w:name="_Toc13793"/>
      <w:bookmarkStart w:id="191" w:name="_Toc531594758"/>
      <w:bookmarkStart w:id="192" w:name="_Toc317863448"/>
      <w:bookmarkStart w:id="193" w:name="_Toc200513153"/>
      <w:bookmarkStart w:id="194" w:name="_Toc4764"/>
      <w:r>
        <w:rPr>
          <w:rFonts w:ascii="Times New Roman" w:hAnsi="Times New Roman" w:eastAsia="方正楷体_GBK" w:cs="Times New Roman"/>
          <w:b/>
          <w:color w:val="auto"/>
          <w:w w:val="99"/>
          <w:kern w:val="0"/>
          <w:sz w:val="21"/>
          <w:szCs w:val="21"/>
          <w:lang w:val="zh-CN"/>
        </w:rPr>
        <w:t>4.投标</w:t>
      </w:r>
      <w:bookmarkEnd w:id="189"/>
      <w:bookmarkEnd w:id="190"/>
      <w:bookmarkEnd w:id="191"/>
      <w:bookmarkEnd w:id="192"/>
      <w:bookmarkEnd w:id="193"/>
      <w:bookmarkEnd w:id="194"/>
    </w:p>
    <w:p w14:paraId="70D7CC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195" w:name="_Toc531594759"/>
      <w:bookmarkStart w:id="196" w:name="_Toc26003"/>
      <w:bookmarkStart w:id="197" w:name="_Toc325636607"/>
      <w:bookmarkStart w:id="198" w:name="_Toc23303"/>
      <w:bookmarkStart w:id="199" w:name="_Toc317863449"/>
      <w:bookmarkStart w:id="200" w:name="_Toc200513154"/>
      <w:bookmarkStart w:id="201" w:name="_Toc334774190"/>
      <w:r>
        <w:rPr>
          <w:rFonts w:ascii="Times New Roman" w:hAnsi="Times New Roman" w:eastAsia="方正仿宋_GBK" w:cs="Times New Roman"/>
          <w:b/>
          <w:color w:val="auto"/>
          <w:kern w:val="0"/>
          <w:sz w:val="21"/>
          <w:szCs w:val="21"/>
        </w:rPr>
        <w:t>4.1 投标文件的密封和标记</w:t>
      </w:r>
      <w:bookmarkEnd w:id="195"/>
      <w:bookmarkEnd w:id="196"/>
      <w:bookmarkEnd w:id="197"/>
      <w:bookmarkEnd w:id="198"/>
      <w:bookmarkEnd w:id="199"/>
      <w:bookmarkEnd w:id="200"/>
      <w:bookmarkEnd w:id="201"/>
    </w:p>
    <w:p w14:paraId="21D1D22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02" w:name="_Toc4247"/>
      <w:r>
        <w:rPr>
          <w:rFonts w:ascii="Times New Roman" w:hAnsi="Times New Roman" w:eastAsia="方正仿宋_GBK" w:cs="Times New Roman"/>
          <w:color w:val="auto"/>
          <w:kern w:val="0"/>
          <w:sz w:val="21"/>
          <w:szCs w:val="21"/>
        </w:rPr>
        <w:t>4.1.1 投标文件的密封见投标人须知前附表。</w:t>
      </w:r>
      <w:bookmarkEnd w:id="202"/>
    </w:p>
    <w:p w14:paraId="09779BF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03" w:name="_Toc229"/>
      <w:r>
        <w:rPr>
          <w:rFonts w:ascii="Times New Roman" w:hAnsi="Times New Roman" w:eastAsia="方正仿宋_GBK" w:cs="Times New Roman"/>
          <w:color w:val="auto"/>
          <w:kern w:val="0"/>
          <w:sz w:val="21"/>
          <w:szCs w:val="21"/>
        </w:rPr>
        <w:t>4.1.2 投标文件的封套上应写明的内容见投标人须知前附表。</w:t>
      </w:r>
      <w:bookmarkEnd w:id="203"/>
    </w:p>
    <w:p w14:paraId="4CA6903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04" w:name="_Toc1199"/>
      <w:r>
        <w:rPr>
          <w:rFonts w:ascii="Times New Roman" w:hAnsi="Times New Roman" w:eastAsia="方正仿宋_GBK" w:cs="Times New Roman"/>
          <w:color w:val="auto"/>
          <w:kern w:val="0"/>
          <w:sz w:val="21"/>
          <w:szCs w:val="21"/>
        </w:rPr>
        <w:t>4.1.3 未按要求密封和写标记的投标文件，将被拒绝受理。</w:t>
      </w:r>
      <w:bookmarkEnd w:id="204"/>
    </w:p>
    <w:p w14:paraId="2CF69C9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05" w:name="_Toc325636608"/>
      <w:bookmarkStart w:id="206" w:name="_Toc9247"/>
      <w:bookmarkStart w:id="207" w:name="_Toc317863450"/>
      <w:bookmarkStart w:id="208" w:name="_Toc334774191"/>
      <w:bookmarkStart w:id="209" w:name="_Toc5004"/>
      <w:bookmarkStart w:id="210" w:name="_Toc531594760"/>
      <w:r>
        <w:rPr>
          <w:rFonts w:ascii="Times New Roman" w:hAnsi="Times New Roman" w:eastAsia="方正仿宋_GBK" w:cs="Times New Roman"/>
          <w:b/>
          <w:color w:val="auto"/>
          <w:kern w:val="0"/>
          <w:sz w:val="21"/>
          <w:szCs w:val="21"/>
        </w:rPr>
        <w:t>4.2 投标文件的递交</w:t>
      </w:r>
      <w:bookmarkEnd w:id="205"/>
      <w:bookmarkEnd w:id="206"/>
      <w:bookmarkEnd w:id="207"/>
      <w:bookmarkEnd w:id="208"/>
      <w:bookmarkEnd w:id="209"/>
      <w:bookmarkEnd w:id="210"/>
    </w:p>
    <w:p w14:paraId="0BE313B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11" w:name="_Toc2704"/>
      <w:r>
        <w:rPr>
          <w:rFonts w:ascii="Times New Roman" w:hAnsi="Times New Roman" w:eastAsia="方正仿宋_GBK" w:cs="Times New Roman"/>
          <w:color w:val="auto"/>
          <w:kern w:val="0"/>
          <w:sz w:val="21"/>
          <w:szCs w:val="21"/>
        </w:rPr>
        <w:t>4.2.1 投标人应在本章前附表规定的投标截止时间前递交投标文件。</w:t>
      </w:r>
      <w:bookmarkEnd w:id="211"/>
    </w:p>
    <w:p w14:paraId="2177534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12" w:name="_Toc31082"/>
      <w:r>
        <w:rPr>
          <w:rFonts w:ascii="Times New Roman" w:hAnsi="Times New Roman" w:eastAsia="方正仿宋_GBK" w:cs="Times New Roman"/>
          <w:color w:val="auto"/>
          <w:kern w:val="0"/>
          <w:sz w:val="21"/>
          <w:szCs w:val="21"/>
        </w:rPr>
        <w:t>4.2.2 投标人递交投标文件的地点：见投标人须知前附表。</w:t>
      </w:r>
      <w:bookmarkEnd w:id="212"/>
    </w:p>
    <w:p w14:paraId="79C2ACC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13" w:name="_Toc13578"/>
      <w:r>
        <w:rPr>
          <w:rFonts w:ascii="Times New Roman" w:hAnsi="Times New Roman" w:eastAsia="方正仿宋_GBK" w:cs="Times New Roman"/>
          <w:color w:val="auto"/>
          <w:kern w:val="0"/>
          <w:sz w:val="21"/>
          <w:szCs w:val="21"/>
        </w:rPr>
        <w:t>4.2.3 除投标人须知前附表另有规定外，投标人所递交的投标文件不予退还。</w:t>
      </w:r>
      <w:bookmarkEnd w:id="213"/>
    </w:p>
    <w:p w14:paraId="3C6BFE6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14" w:name="_Toc23956"/>
      <w:r>
        <w:rPr>
          <w:rFonts w:ascii="Times New Roman" w:hAnsi="Times New Roman" w:eastAsia="方正仿宋_GBK" w:cs="Times New Roman"/>
          <w:color w:val="auto"/>
          <w:kern w:val="0"/>
          <w:sz w:val="21"/>
          <w:szCs w:val="21"/>
        </w:rPr>
        <w:t>4.2.4 招标人收到投标文件后，向投标人出具签收凭证。</w:t>
      </w:r>
      <w:bookmarkEnd w:id="214"/>
    </w:p>
    <w:p w14:paraId="160C803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15" w:name="_Toc13796"/>
      <w:r>
        <w:rPr>
          <w:rFonts w:ascii="Times New Roman" w:hAnsi="Times New Roman" w:eastAsia="方正仿宋_GBK" w:cs="Times New Roman"/>
          <w:color w:val="auto"/>
          <w:kern w:val="0"/>
          <w:sz w:val="21"/>
          <w:szCs w:val="21"/>
        </w:rPr>
        <w:t>4.2.5 逾期送达的或者未送达指定地点的投标文件，招标人不予受理。</w:t>
      </w:r>
      <w:bookmarkEnd w:id="215"/>
    </w:p>
    <w:p w14:paraId="78A008B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16" w:name="_Toc531594761"/>
      <w:bookmarkStart w:id="217" w:name="_Toc20769"/>
      <w:bookmarkStart w:id="218" w:name="_Toc325636609"/>
      <w:bookmarkStart w:id="219" w:name="_Toc317863451"/>
      <w:bookmarkStart w:id="220" w:name="_Toc334774192"/>
      <w:bookmarkStart w:id="221" w:name="_Toc19098"/>
      <w:bookmarkStart w:id="222" w:name="_Toc200513156"/>
      <w:r>
        <w:rPr>
          <w:rFonts w:ascii="Times New Roman" w:hAnsi="Times New Roman" w:eastAsia="方正仿宋_GBK" w:cs="Times New Roman"/>
          <w:b/>
          <w:color w:val="auto"/>
          <w:kern w:val="0"/>
          <w:sz w:val="21"/>
          <w:szCs w:val="21"/>
        </w:rPr>
        <w:t>4.3 投标文件的修改与撤回</w:t>
      </w:r>
      <w:bookmarkEnd w:id="216"/>
      <w:bookmarkEnd w:id="217"/>
      <w:bookmarkEnd w:id="218"/>
      <w:bookmarkEnd w:id="219"/>
      <w:bookmarkEnd w:id="220"/>
      <w:bookmarkEnd w:id="221"/>
      <w:bookmarkEnd w:id="222"/>
    </w:p>
    <w:p w14:paraId="2E7C021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23" w:name="_Toc14647"/>
      <w:r>
        <w:rPr>
          <w:rFonts w:ascii="Times New Roman" w:hAnsi="Times New Roman" w:eastAsia="方正仿宋_GBK" w:cs="Times New Roman"/>
          <w:color w:val="auto"/>
          <w:kern w:val="0"/>
          <w:sz w:val="21"/>
          <w:szCs w:val="21"/>
        </w:rPr>
        <w:t>4.3.1 在本章第4.2.1项规定的投标截止时间前，投标人可以修改或撤回已递交的投标文件，但应以书面形式通知招标人。</w:t>
      </w:r>
      <w:bookmarkEnd w:id="223"/>
    </w:p>
    <w:p w14:paraId="6668240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24" w:name="_Toc5650"/>
      <w:r>
        <w:rPr>
          <w:rFonts w:ascii="Times New Roman" w:hAnsi="Times New Roman" w:eastAsia="方正仿宋_GBK" w:cs="Times New Roman"/>
          <w:color w:val="auto"/>
          <w:kern w:val="0"/>
          <w:sz w:val="21"/>
          <w:szCs w:val="21"/>
        </w:rPr>
        <w:t>4.3.2 投标人修改或撤回已递交投标文件的书面通知应按照本章第3.7.3项的要求签字或盖章。招标人收到书面通知后，向投标人出具签收凭证。</w:t>
      </w:r>
      <w:bookmarkEnd w:id="224"/>
    </w:p>
    <w:p w14:paraId="443C442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25" w:name="_Toc14490"/>
      <w:r>
        <w:rPr>
          <w:rFonts w:ascii="Times New Roman" w:hAnsi="Times New Roman" w:eastAsia="方正仿宋_GBK" w:cs="Times New Roman"/>
          <w:color w:val="auto"/>
          <w:kern w:val="0"/>
          <w:sz w:val="21"/>
          <w:szCs w:val="21"/>
        </w:rPr>
        <w:t>4.3.3 修改的内容为投标文件的组成部分。修改的投标文件应按照本章第3条、第4条规定进行编制、密封、标记和递交，并标明“修改”字样。</w:t>
      </w:r>
      <w:bookmarkEnd w:id="225"/>
    </w:p>
    <w:p w14:paraId="570EFA1C">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226" w:name="_Toc1489"/>
      <w:bookmarkStart w:id="227" w:name="_Toc200513157"/>
      <w:bookmarkStart w:id="228" w:name="_Toc334774193"/>
      <w:bookmarkStart w:id="229" w:name="_Toc317863452"/>
      <w:bookmarkStart w:id="230" w:name="_Toc19501"/>
      <w:bookmarkStart w:id="231" w:name="_Toc531594762"/>
      <w:r>
        <w:rPr>
          <w:rFonts w:ascii="Times New Roman" w:hAnsi="Times New Roman" w:eastAsia="方正楷体_GBK" w:cs="Times New Roman"/>
          <w:b/>
          <w:color w:val="auto"/>
          <w:w w:val="99"/>
          <w:kern w:val="0"/>
          <w:sz w:val="21"/>
          <w:szCs w:val="21"/>
          <w:lang w:val="zh-CN"/>
        </w:rPr>
        <w:t>5.开标</w:t>
      </w:r>
      <w:bookmarkEnd w:id="226"/>
      <w:bookmarkEnd w:id="227"/>
      <w:bookmarkEnd w:id="228"/>
      <w:bookmarkEnd w:id="229"/>
      <w:r>
        <w:rPr>
          <w:rFonts w:ascii="Times New Roman" w:hAnsi="Times New Roman" w:eastAsia="方正楷体_GBK" w:cs="Times New Roman"/>
          <w:b/>
          <w:color w:val="auto"/>
          <w:w w:val="99"/>
          <w:kern w:val="0"/>
          <w:sz w:val="21"/>
          <w:szCs w:val="21"/>
          <w:lang w:val="zh-CN"/>
        </w:rPr>
        <w:t>时间及地点</w:t>
      </w:r>
      <w:bookmarkEnd w:id="230"/>
      <w:bookmarkEnd w:id="231"/>
    </w:p>
    <w:p w14:paraId="749DE6A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32" w:name="_Toc531594763"/>
      <w:bookmarkStart w:id="233" w:name="_Toc27809"/>
      <w:r>
        <w:rPr>
          <w:rFonts w:ascii="Times New Roman" w:hAnsi="Times New Roman" w:eastAsia="方正仿宋_GBK" w:cs="Times New Roman"/>
          <w:color w:val="auto"/>
          <w:kern w:val="0"/>
          <w:sz w:val="21"/>
          <w:szCs w:val="21"/>
        </w:rPr>
        <w:t>开标时间及地点见投标人</w:t>
      </w:r>
      <w:r>
        <w:rPr>
          <w:rFonts w:hint="eastAsia" w:ascii="Times New Roman" w:hAnsi="Times New Roman" w:eastAsia="方正仿宋_GBK" w:cs="Times New Roman"/>
          <w:color w:val="auto"/>
          <w:kern w:val="0"/>
          <w:sz w:val="21"/>
          <w:szCs w:val="21"/>
        </w:rPr>
        <w:t>须</w:t>
      </w:r>
      <w:r>
        <w:rPr>
          <w:rFonts w:ascii="Times New Roman" w:hAnsi="Times New Roman" w:eastAsia="方正仿宋_GBK" w:cs="Times New Roman"/>
          <w:color w:val="auto"/>
          <w:kern w:val="0"/>
          <w:sz w:val="21"/>
          <w:szCs w:val="21"/>
        </w:rPr>
        <w:t>知前附表</w:t>
      </w:r>
      <w:bookmarkEnd w:id="232"/>
      <w:bookmarkEnd w:id="233"/>
    </w:p>
    <w:p w14:paraId="68A57BE3">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234" w:name="_Toc21419"/>
      <w:bookmarkStart w:id="235" w:name="_Toc531594764"/>
      <w:r>
        <w:rPr>
          <w:rFonts w:ascii="Times New Roman" w:hAnsi="Times New Roman" w:eastAsia="方正楷体_GBK" w:cs="Times New Roman"/>
          <w:b/>
          <w:color w:val="auto"/>
          <w:w w:val="99"/>
          <w:kern w:val="0"/>
          <w:sz w:val="21"/>
          <w:szCs w:val="21"/>
          <w:lang w:val="zh-CN"/>
        </w:rPr>
        <w:t>6.评标</w:t>
      </w:r>
      <w:bookmarkEnd w:id="234"/>
      <w:bookmarkEnd w:id="235"/>
    </w:p>
    <w:p w14:paraId="2F8EA5B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36" w:name="_Toc200513161"/>
      <w:bookmarkStart w:id="237" w:name="_Toc30602"/>
      <w:bookmarkStart w:id="238" w:name="_Toc16186"/>
      <w:bookmarkStart w:id="239" w:name="_Toc531594765"/>
      <w:bookmarkStart w:id="240" w:name="_Toc317863456"/>
      <w:bookmarkStart w:id="241" w:name="_Toc325636614"/>
      <w:bookmarkStart w:id="242" w:name="_Toc334774197"/>
      <w:r>
        <w:rPr>
          <w:rFonts w:ascii="Times New Roman" w:hAnsi="Times New Roman" w:eastAsia="方正仿宋_GBK" w:cs="Times New Roman"/>
          <w:b/>
          <w:color w:val="auto"/>
          <w:kern w:val="0"/>
          <w:sz w:val="21"/>
          <w:szCs w:val="21"/>
        </w:rPr>
        <w:t>6.1 评标委员会</w:t>
      </w:r>
      <w:bookmarkEnd w:id="236"/>
      <w:bookmarkEnd w:id="237"/>
      <w:bookmarkEnd w:id="238"/>
      <w:bookmarkEnd w:id="239"/>
      <w:bookmarkEnd w:id="240"/>
      <w:bookmarkEnd w:id="241"/>
      <w:bookmarkEnd w:id="242"/>
    </w:p>
    <w:p w14:paraId="0E78D0D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43" w:name="_Toc10857"/>
      <w:r>
        <w:rPr>
          <w:rFonts w:ascii="Times New Roman" w:hAnsi="Times New Roman" w:eastAsia="方正仿宋_GBK" w:cs="Times New Roman"/>
          <w:color w:val="auto"/>
          <w:kern w:val="0"/>
          <w:sz w:val="21"/>
          <w:szCs w:val="21"/>
        </w:rPr>
        <w:t>6.1.1 评标由招标人依法组建的评标委员会负责。评标委员会成员的确定方式见投标人须知前附表。</w:t>
      </w:r>
      <w:bookmarkEnd w:id="243"/>
    </w:p>
    <w:p w14:paraId="4BF0ED7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44" w:name="_Toc31236"/>
      <w:r>
        <w:rPr>
          <w:rFonts w:ascii="Times New Roman" w:hAnsi="Times New Roman" w:eastAsia="方正仿宋_GBK" w:cs="Times New Roman"/>
          <w:color w:val="auto"/>
          <w:kern w:val="0"/>
          <w:sz w:val="21"/>
          <w:szCs w:val="21"/>
        </w:rPr>
        <w:t>6.1.2 评标委员会成员有下列情形之一的，应当回避：</w:t>
      </w:r>
      <w:bookmarkEnd w:id="244"/>
    </w:p>
    <w:p w14:paraId="74D3103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45" w:name="_Toc18299"/>
      <w:r>
        <w:rPr>
          <w:rFonts w:ascii="Times New Roman" w:hAnsi="Times New Roman" w:eastAsia="方正仿宋_GBK" w:cs="Times New Roman"/>
          <w:color w:val="auto"/>
          <w:kern w:val="0"/>
          <w:sz w:val="21"/>
          <w:szCs w:val="21"/>
        </w:rPr>
        <w:t>6.1.2.1 招标人或投标人的主要负责人的近亲属；</w:t>
      </w:r>
      <w:bookmarkEnd w:id="245"/>
    </w:p>
    <w:p w14:paraId="60224F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46" w:name="_Toc2930"/>
      <w:r>
        <w:rPr>
          <w:rFonts w:ascii="Times New Roman" w:hAnsi="Times New Roman" w:eastAsia="方正仿宋_GBK" w:cs="Times New Roman"/>
          <w:color w:val="auto"/>
          <w:kern w:val="0"/>
          <w:sz w:val="21"/>
          <w:szCs w:val="21"/>
        </w:rPr>
        <w:t>6.1.2.2 项目主管部门或者行政监督部门的人员；</w:t>
      </w:r>
      <w:bookmarkEnd w:id="246"/>
    </w:p>
    <w:p w14:paraId="1F5741C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47" w:name="_Toc22249"/>
      <w:r>
        <w:rPr>
          <w:rFonts w:ascii="Times New Roman" w:hAnsi="Times New Roman" w:eastAsia="方正仿宋_GBK" w:cs="Times New Roman"/>
          <w:color w:val="auto"/>
          <w:kern w:val="0"/>
          <w:sz w:val="21"/>
          <w:szCs w:val="21"/>
        </w:rPr>
        <w:t>6.1.2.3 与投标人有经济利益关系，可能影响对投标公正评审的；</w:t>
      </w:r>
      <w:bookmarkEnd w:id="247"/>
    </w:p>
    <w:p w14:paraId="7183C71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48" w:name="_Toc6433"/>
      <w:r>
        <w:rPr>
          <w:rFonts w:ascii="Times New Roman" w:hAnsi="Times New Roman" w:eastAsia="方正仿宋_GBK" w:cs="Times New Roman"/>
          <w:color w:val="auto"/>
          <w:kern w:val="0"/>
          <w:sz w:val="21"/>
          <w:szCs w:val="21"/>
        </w:rPr>
        <w:t>6.1.2.4 曾因在招标、评标以及其他与招标投标有关活动中从事违法行为而受过行政处罚或刑事处罚的。</w:t>
      </w:r>
      <w:bookmarkEnd w:id="248"/>
    </w:p>
    <w:p w14:paraId="677975A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49" w:name="_Toc25740"/>
      <w:bookmarkStart w:id="250" w:name="_Toc18631"/>
      <w:bookmarkStart w:id="251" w:name="_Toc200513162"/>
      <w:bookmarkStart w:id="252" w:name="_Toc334774198"/>
      <w:bookmarkStart w:id="253" w:name="_Toc325636615"/>
      <w:bookmarkStart w:id="254" w:name="_Toc317863457"/>
      <w:bookmarkStart w:id="255" w:name="_Toc531594766"/>
      <w:r>
        <w:rPr>
          <w:rFonts w:ascii="Times New Roman" w:hAnsi="Times New Roman" w:eastAsia="方正仿宋_GBK" w:cs="Times New Roman"/>
          <w:b/>
          <w:color w:val="auto"/>
          <w:kern w:val="0"/>
          <w:sz w:val="21"/>
          <w:szCs w:val="21"/>
        </w:rPr>
        <w:t>6.2 评标原则</w:t>
      </w:r>
      <w:bookmarkEnd w:id="249"/>
      <w:bookmarkEnd w:id="250"/>
      <w:bookmarkEnd w:id="251"/>
      <w:bookmarkEnd w:id="252"/>
      <w:bookmarkEnd w:id="253"/>
      <w:bookmarkEnd w:id="254"/>
      <w:bookmarkEnd w:id="255"/>
    </w:p>
    <w:p w14:paraId="39A264D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56" w:name="_Toc3141"/>
      <w:r>
        <w:rPr>
          <w:rFonts w:hint="eastAsia" w:ascii="Times New Roman" w:hAnsi="Times New Roman" w:eastAsia="方正仿宋_GBK" w:cs="Times New Roman"/>
          <w:color w:val="auto"/>
          <w:kern w:val="0"/>
          <w:sz w:val="21"/>
          <w:szCs w:val="21"/>
        </w:rPr>
        <w:t>见招标文件第四章</w:t>
      </w:r>
      <w:r>
        <w:rPr>
          <w:rFonts w:ascii="Times New Roman" w:hAnsi="Times New Roman" w:eastAsia="方正仿宋_GBK" w:cs="Times New Roman"/>
          <w:color w:val="auto"/>
          <w:kern w:val="0"/>
          <w:sz w:val="21"/>
          <w:szCs w:val="21"/>
        </w:rPr>
        <w:t>；</w:t>
      </w:r>
      <w:bookmarkEnd w:id="256"/>
    </w:p>
    <w:p w14:paraId="2603BDF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57" w:name="_Toc30366"/>
      <w:r>
        <w:rPr>
          <w:rFonts w:ascii="Times New Roman" w:hAnsi="Times New Roman" w:eastAsia="方正仿宋_GBK" w:cs="Times New Roman"/>
          <w:b/>
          <w:color w:val="auto"/>
          <w:kern w:val="0"/>
          <w:sz w:val="21"/>
          <w:szCs w:val="21"/>
        </w:rPr>
        <w:t>6.3 评标</w:t>
      </w:r>
      <w:bookmarkEnd w:id="257"/>
    </w:p>
    <w:p w14:paraId="789C4EA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58" w:name="_Toc21686"/>
      <w:r>
        <w:rPr>
          <w:rFonts w:ascii="Times New Roman" w:hAnsi="Times New Roman" w:eastAsia="方正仿宋_GBK" w:cs="Times New Roman"/>
          <w:color w:val="auto"/>
          <w:kern w:val="0"/>
          <w:sz w:val="21"/>
          <w:szCs w:val="21"/>
        </w:rPr>
        <w:t>评标委员会按照第四章“评标原则”规定的方法、评审因素、标准和程序对投标文件进行评审。</w:t>
      </w:r>
      <w:bookmarkEnd w:id="258"/>
    </w:p>
    <w:p w14:paraId="1F81476A">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259" w:name="_Toc531594767"/>
      <w:bookmarkStart w:id="260" w:name="_Toc317863459"/>
      <w:bookmarkStart w:id="261" w:name="_Toc5106"/>
      <w:bookmarkStart w:id="262" w:name="_Toc334774200"/>
      <w:bookmarkStart w:id="263" w:name="_Toc24055"/>
      <w:r>
        <w:rPr>
          <w:rFonts w:ascii="Times New Roman" w:hAnsi="Times New Roman" w:eastAsia="方正楷体_GBK" w:cs="Times New Roman"/>
          <w:b/>
          <w:color w:val="auto"/>
          <w:w w:val="99"/>
          <w:kern w:val="0"/>
          <w:sz w:val="21"/>
          <w:szCs w:val="21"/>
          <w:lang w:val="zh-CN"/>
        </w:rPr>
        <w:t>7.合同授予</w:t>
      </w:r>
      <w:bookmarkEnd w:id="259"/>
      <w:bookmarkEnd w:id="260"/>
      <w:bookmarkEnd w:id="261"/>
      <w:bookmarkEnd w:id="262"/>
      <w:bookmarkEnd w:id="263"/>
    </w:p>
    <w:p w14:paraId="3D9D679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64" w:name="_Toc531594768"/>
      <w:bookmarkStart w:id="265" w:name="_Toc200513165"/>
      <w:bookmarkStart w:id="266" w:name="_Toc22299"/>
      <w:bookmarkStart w:id="267" w:name="_Toc334774201"/>
      <w:bookmarkStart w:id="268" w:name="_Toc9926"/>
      <w:bookmarkStart w:id="269" w:name="_Toc325636618"/>
      <w:bookmarkStart w:id="270" w:name="_Toc317863460"/>
      <w:r>
        <w:rPr>
          <w:rFonts w:ascii="Times New Roman" w:hAnsi="Times New Roman" w:eastAsia="方正仿宋_GBK" w:cs="Times New Roman"/>
          <w:b/>
          <w:color w:val="auto"/>
          <w:kern w:val="0"/>
          <w:sz w:val="21"/>
          <w:szCs w:val="21"/>
        </w:rPr>
        <w:t>7.1 定标方式</w:t>
      </w:r>
      <w:bookmarkEnd w:id="264"/>
      <w:bookmarkEnd w:id="265"/>
      <w:bookmarkEnd w:id="266"/>
      <w:bookmarkEnd w:id="267"/>
      <w:bookmarkEnd w:id="268"/>
      <w:bookmarkEnd w:id="269"/>
      <w:bookmarkEnd w:id="270"/>
    </w:p>
    <w:p w14:paraId="5A9B69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71" w:name="_Toc28947"/>
      <w:r>
        <w:rPr>
          <w:rFonts w:ascii="Times New Roman" w:hAnsi="Times New Roman" w:eastAsia="方正仿宋_GBK" w:cs="Times New Roman"/>
          <w:color w:val="auto"/>
          <w:kern w:val="0"/>
          <w:sz w:val="21"/>
          <w:szCs w:val="21"/>
        </w:rPr>
        <w:t>除投标人须知前附表规定评标委员会直接确定中标人外，招标人依据评标委员会推荐的中标候选人确定中标人，评标委员会推荐中标候选人的人数见投标人须知前附表。</w:t>
      </w:r>
      <w:bookmarkEnd w:id="271"/>
    </w:p>
    <w:p w14:paraId="1738251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72" w:name="_Toc334774202"/>
      <w:bookmarkStart w:id="273" w:name="_Toc317863461"/>
      <w:bookmarkStart w:id="274" w:name="_Toc531594769"/>
      <w:bookmarkStart w:id="275" w:name="_Toc200513166"/>
      <w:bookmarkStart w:id="276" w:name="_Toc325636619"/>
      <w:bookmarkStart w:id="277" w:name="_Toc27821"/>
      <w:bookmarkStart w:id="278" w:name="_Toc19729"/>
      <w:r>
        <w:rPr>
          <w:rFonts w:ascii="Times New Roman" w:hAnsi="Times New Roman" w:eastAsia="方正仿宋_GBK" w:cs="Times New Roman"/>
          <w:b/>
          <w:color w:val="auto"/>
          <w:kern w:val="0"/>
          <w:sz w:val="21"/>
          <w:szCs w:val="21"/>
        </w:rPr>
        <w:t>7.2 中标通知</w:t>
      </w:r>
      <w:bookmarkEnd w:id="272"/>
      <w:bookmarkEnd w:id="273"/>
      <w:bookmarkEnd w:id="274"/>
      <w:bookmarkEnd w:id="275"/>
      <w:bookmarkEnd w:id="276"/>
      <w:bookmarkEnd w:id="277"/>
      <w:bookmarkEnd w:id="278"/>
    </w:p>
    <w:p w14:paraId="5FF4925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79" w:name="_Toc20556"/>
      <w:r>
        <w:rPr>
          <w:rFonts w:ascii="Times New Roman" w:hAnsi="Times New Roman" w:eastAsia="方正仿宋_GBK" w:cs="Times New Roman"/>
          <w:color w:val="auto"/>
          <w:kern w:val="0"/>
          <w:sz w:val="21"/>
          <w:szCs w:val="21"/>
        </w:rPr>
        <w:t>在本章第 3.3 款规定的投标有效期内，招标人以</w:t>
      </w:r>
      <w:r>
        <w:rPr>
          <w:rFonts w:hint="eastAsia" w:ascii="Times New Roman" w:hAnsi="Times New Roman" w:eastAsia="方正仿宋_GBK" w:cs="Times New Roman"/>
          <w:color w:val="auto"/>
          <w:kern w:val="0"/>
          <w:sz w:val="21"/>
          <w:szCs w:val="21"/>
        </w:rPr>
        <w:t>书面</w:t>
      </w:r>
      <w:r>
        <w:rPr>
          <w:rFonts w:ascii="Times New Roman" w:hAnsi="Times New Roman" w:eastAsia="方正仿宋_GBK" w:cs="Times New Roman"/>
          <w:color w:val="auto"/>
          <w:kern w:val="0"/>
          <w:sz w:val="21"/>
          <w:szCs w:val="21"/>
        </w:rPr>
        <w:t>的形式向中标人发出中标通知书。</w:t>
      </w:r>
      <w:bookmarkEnd w:id="279"/>
    </w:p>
    <w:p w14:paraId="449FE8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280" w:name="_Toc9808"/>
      <w:bookmarkStart w:id="281" w:name="_Toc531594770"/>
      <w:bookmarkStart w:id="282" w:name="_Toc12374"/>
      <w:bookmarkStart w:id="283" w:name="_Toc317863463"/>
      <w:bookmarkStart w:id="284" w:name="_Toc334774203"/>
      <w:bookmarkStart w:id="285" w:name="_Toc325636621"/>
      <w:r>
        <w:rPr>
          <w:rFonts w:ascii="Times New Roman" w:hAnsi="Times New Roman" w:eastAsia="方正仿宋_GBK" w:cs="Times New Roman"/>
          <w:b/>
          <w:color w:val="auto"/>
          <w:kern w:val="0"/>
          <w:sz w:val="21"/>
          <w:szCs w:val="21"/>
        </w:rPr>
        <w:t>7.3 签订合同</w:t>
      </w:r>
      <w:bookmarkEnd w:id="280"/>
      <w:bookmarkEnd w:id="281"/>
      <w:bookmarkEnd w:id="282"/>
      <w:bookmarkEnd w:id="283"/>
      <w:bookmarkEnd w:id="284"/>
      <w:bookmarkEnd w:id="285"/>
    </w:p>
    <w:p w14:paraId="45B6CE1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86" w:name="_Toc1269"/>
      <w:r>
        <w:rPr>
          <w:rFonts w:ascii="Times New Roman" w:hAnsi="Times New Roman" w:eastAsia="方正仿宋_GBK" w:cs="Times New Roman"/>
          <w:color w:val="auto"/>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bookmarkEnd w:id="286"/>
    </w:p>
    <w:p w14:paraId="110C4E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87" w:name="_Toc10388"/>
      <w:r>
        <w:rPr>
          <w:rFonts w:ascii="Times New Roman" w:hAnsi="Times New Roman" w:eastAsia="方正仿宋_GBK" w:cs="Times New Roman"/>
          <w:color w:val="auto"/>
          <w:kern w:val="0"/>
          <w:sz w:val="21"/>
          <w:szCs w:val="21"/>
        </w:rPr>
        <w:t>7.3.2 发出中标通知书后，招标人无正当理由拒签合同的，招标人向中标人退还投标保证金；给中标人造成损失的，还应当赔偿损失。</w:t>
      </w:r>
      <w:bookmarkEnd w:id="287"/>
    </w:p>
    <w:p w14:paraId="202A575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88" w:name="_Toc6708"/>
      <w:r>
        <w:rPr>
          <w:rFonts w:ascii="Times New Roman" w:hAnsi="Times New Roman" w:eastAsia="方正仿宋_GBK" w:cs="Times New Roman"/>
          <w:color w:val="auto"/>
          <w:kern w:val="0"/>
          <w:sz w:val="21"/>
          <w:szCs w:val="21"/>
        </w:rPr>
        <w:t>7.3.3 投标人中标后又提出对招标文件中各项条款的不实质性响应，经双方协商，在7.3.1条规定的时间内不能达成一致意见的，招标人有权取消其中标资格，并没收其投标保证金。</w:t>
      </w:r>
      <w:bookmarkEnd w:id="288"/>
    </w:p>
    <w:p w14:paraId="1364611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289" w:name="_Toc11530"/>
      <w:r>
        <w:rPr>
          <w:rFonts w:ascii="Times New Roman" w:hAnsi="Times New Roman" w:eastAsia="方正仿宋_GBK" w:cs="Times New Roman"/>
          <w:color w:val="auto"/>
          <w:kern w:val="0"/>
          <w:sz w:val="21"/>
          <w:szCs w:val="21"/>
        </w:rPr>
        <w:t>7.3.4 签订合同后，</w:t>
      </w:r>
      <w:r>
        <w:rPr>
          <w:rFonts w:hint="eastAsia" w:ascii="Times New Roman" w:hAnsi="Times New Roman" w:eastAsia="方正仿宋_GBK" w:cs="Times New Roman"/>
          <w:color w:val="auto"/>
          <w:kern w:val="0"/>
          <w:sz w:val="21"/>
          <w:szCs w:val="21"/>
        </w:rPr>
        <w:t>中标人</w:t>
      </w:r>
      <w:r>
        <w:rPr>
          <w:rFonts w:ascii="Times New Roman" w:hAnsi="Times New Roman" w:eastAsia="方正仿宋_GBK" w:cs="Times New Roman"/>
          <w:color w:val="auto"/>
          <w:kern w:val="0"/>
          <w:sz w:val="21"/>
          <w:szCs w:val="21"/>
        </w:rPr>
        <w:t>放弃</w:t>
      </w:r>
      <w:r>
        <w:rPr>
          <w:rFonts w:hint="eastAsia" w:ascii="Times New Roman" w:hAnsi="Times New Roman" w:eastAsia="方正仿宋_GBK" w:cs="Times New Roman"/>
          <w:color w:val="auto"/>
          <w:kern w:val="0"/>
          <w:sz w:val="21"/>
          <w:szCs w:val="21"/>
        </w:rPr>
        <w:t>中标</w:t>
      </w:r>
      <w:r>
        <w:rPr>
          <w:rFonts w:ascii="Times New Roman" w:hAnsi="Times New Roman" w:eastAsia="方正仿宋_GBK" w:cs="Times New Roman"/>
          <w:color w:val="auto"/>
          <w:kern w:val="0"/>
          <w:sz w:val="21"/>
          <w:szCs w:val="21"/>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rPr>
        <w:t>招标</w:t>
      </w:r>
      <w:r>
        <w:rPr>
          <w:rFonts w:ascii="Times New Roman" w:hAnsi="Times New Roman" w:eastAsia="方正仿宋_GBK" w:cs="Times New Roman"/>
          <w:color w:val="auto"/>
          <w:kern w:val="0"/>
          <w:sz w:val="21"/>
          <w:szCs w:val="21"/>
        </w:rPr>
        <w:t>人有权终止合同，并没收其投标保证金及履约保证金。</w:t>
      </w:r>
      <w:bookmarkEnd w:id="289"/>
    </w:p>
    <w:p w14:paraId="0CEE9990">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290" w:name="_Toc15584"/>
      <w:bookmarkStart w:id="291" w:name="_Toc317863464"/>
      <w:bookmarkStart w:id="292" w:name="_Toc334774204"/>
      <w:bookmarkStart w:id="293" w:name="_Toc1490"/>
      <w:bookmarkStart w:id="294" w:name="_Toc531594771"/>
      <w:bookmarkStart w:id="295" w:name="_Toc531594773"/>
      <w:bookmarkStart w:id="296" w:name="_Toc317863467"/>
      <w:bookmarkStart w:id="297" w:name="_Toc11895"/>
      <w:bookmarkStart w:id="298" w:name="_Toc334774207"/>
      <w:bookmarkStart w:id="299" w:name="_Toc200513172"/>
      <w:r>
        <w:rPr>
          <w:rFonts w:ascii="Times New Roman" w:hAnsi="Times New Roman" w:eastAsia="方正楷体_GBK" w:cs="Times New Roman"/>
          <w:b/>
          <w:color w:val="auto"/>
          <w:w w:val="99"/>
          <w:kern w:val="0"/>
          <w:sz w:val="21"/>
          <w:szCs w:val="21"/>
          <w:lang w:val="zh-CN"/>
        </w:rPr>
        <w:t>8.重新招标和不再招标</w:t>
      </w:r>
      <w:bookmarkEnd w:id="290"/>
      <w:bookmarkEnd w:id="291"/>
      <w:bookmarkEnd w:id="292"/>
      <w:bookmarkEnd w:id="293"/>
      <w:bookmarkEnd w:id="294"/>
    </w:p>
    <w:p w14:paraId="3885DEBD">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
          <w:color w:val="auto"/>
          <w:kern w:val="0"/>
          <w:sz w:val="21"/>
          <w:szCs w:val="21"/>
        </w:rPr>
      </w:pPr>
      <w:bookmarkStart w:id="300" w:name="_Toc11853"/>
      <w:r>
        <w:rPr>
          <w:rFonts w:hint="eastAsia" w:ascii="Times New Roman" w:hAnsi="Times New Roman" w:eastAsia="方正仿宋_GBK" w:cs="Times New Roman"/>
          <w:b/>
          <w:color w:val="auto"/>
          <w:kern w:val="0"/>
          <w:sz w:val="21"/>
          <w:szCs w:val="21"/>
        </w:rPr>
        <w:t>8.1 重新招标</w:t>
      </w:r>
      <w:bookmarkEnd w:id="300"/>
    </w:p>
    <w:p w14:paraId="02BEBFB2">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color w:val="auto"/>
          <w:kern w:val="0"/>
          <w:sz w:val="21"/>
          <w:szCs w:val="21"/>
        </w:rPr>
      </w:pPr>
      <w:bookmarkStart w:id="301" w:name="_Toc10325"/>
      <w:r>
        <w:rPr>
          <w:rFonts w:hint="eastAsia" w:ascii="Times New Roman" w:hAnsi="Times New Roman" w:eastAsia="方正仿宋_GBK" w:cs="Times New Roman"/>
          <w:bCs/>
          <w:color w:val="auto"/>
          <w:kern w:val="0"/>
          <w:sz w:val="21"/>
          <w:szCs w:val="21"/>
        </w:rPr>
        <w:t>有下列情形之一的，招标人将重新招标</w:t>
      </w:r>
      <w:bookmarkEnd w:id="301"/>
    </w:p>
    <w:p w14:paraId="6ACCCAA1">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color w:val="auto"/>
          <w:kern w:val="0"/>
          <w:sz w:val="21"/>
          <w:szCs w:val="21"/>
        </w:rPr>
      </w:pPr>
      <w:bookmarkStart w:id="302" w:name="_Toc31745"/>
      <w:r>
        <w:rPr>
          <w:rFonts w:hint="eastAsia" w:ascii="Times New Roman" w:hAnsi="Times New Roman" w:eastAsia="方正仿宋_GBK" w:cs="Times New Roman"/>
          <w:bCs/>
          <w:color w:val="auto"/>
          <w:kern w:val="0"/>
          <w:sz w:val="21"/>
          <w:szCs w:val="21"/>
        </w:rPr>
        <w:t>（1）投标截止时间止，投标人少于三个的；</w:t>
      </w:r>
      <w:bookmarkEnd w:id="302"/>
    </w:p>
    <w:p w14:paraId="4D8680D2">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color w:val="auto"/>
          <w:kern w:val="0"/>
          <w:sz w:val="21"/>
          <w:szCs w:val="21"/>
        </w:rPr>
      </w:pPr>
      <w:bookmarkStart w:id="303" w:name="_Toc10017"/>
      <w:r>
        <w:rPr>
          <w:rFonts w:hint="eastAsia" w:ascii="Times New Roman" w:hAnsi="Times New Roman" w:eastAsia="方正仿宋_GBK" w:cs="Times New Roman"/>
          <w:bCs/>
          <w:color w:val="auto"/>
          <w:kern w:val="0"/>
          <w:sz w:val="21"/>
          <w:szCs w:val="21"/>
        </w:rPr>
        <w:t>（2）评标后合格的投标人少于三个的。</w:t>
      </w:r>
      <w:bookmarkEnd w:id="303"/>
    </w:p>
    <w:p w14:paraId="3C08CC49">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
          <w:color w:val="auto"/>
          <w:kern w:val="0"/>
          <w:sz w:val="21"/>
          <w:szCs w:val="21"/>
        </w:rPr>
      </w:pPr>
      <w:bookmarkStart w:id="304" w:name="_Toc12551"/>
      <w:r>
        <w:rPr>
          <w:rFonts w:hint="eastAsia" w:ascii="Times New Roman" w:hAnsi="Times New Roman" w:eastAsia="方正仿宋_GBK" w:cs="Times New Roman"/>
          <w:b/>
          <w:color w:val="auto"/>
          <w:kern w:val="0"/>
          <w:sz w:val="21"/>
          <w:szCs w:val="21"/>
        </w:rPr>
        <w:t>8.2 不再招标</w:t>
      </w:r>
      <w:bookmarkEnd w:id="304"/>
    </w:p>
    <w:p w14:paraId="3891D7C0">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color w:val="auto"/>
          <w:kern w:val="0"/>
          <w:sz w:val="21"/>
          <w:szCs w:val="21"/>
        </w:rPr>
      </w:pPr>
      <w:bookmarkStart w:id="305" w:name="_Toc14454"/>
      <w:r>
        <w:rPr>
          <w:rFonts w:hint="eastAsia" w:ascii="Times New Roman" w:hAnsi="Times New Roman" w:eastAsia="方正仿宋_GBK" w:cs="Times New Roman"/>
          <w:bCs/>
          <w:color w:val="auto"/>
          <w:kern w:val="0"/>
          <w:sz w:val="21"/>
          <w:szCs w:val="21"/>
        </w:rPr>
        <w:t>若调整采购需求重新招标仍然失败的，可以采用竞争性谈判或单一来源的方式执行本项目。</w:t>
      </w:r>
      <w:bookmarkEnd w:id="305"/>
    </w:p>
    <w:p w14:paraId="4E0EA250">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306" w:name="_Toc7669"/>
      <w:r>
        <w:rPr>
          <w:rFonts w:ascii="Times New Roman" w:hAnsi="Times New Roman" w:eastAsia="方正楷体_GBK" w:cs="Times New Roman"/>
          <w:b/>
          <w:color w:val="auto"/>
          <w:w w:val="99"/>
          <w:kern w:val="0"/>
          <w:sz w:val="21"/>
          <w:szCs w:val="21"/>
          <w:lang w:val="zh-CN"/>
        </w:rPr>
        <w:t>9.纪律和监督</w:t>
      </w:r>
      <w:bookmarkEnd w:id="295"/>
      <w:bookmarkEnd w:id="296"/>
      <w:bookmarkEnd w:id="297"/>
      <w:bookmarkEnd w:id="298"/>
      <w:bookmarkEnd w:id="299"/>
      <w:bookmarkEnd w:id="306"/>
    </w:p>
    <w:p w14:paraId="2275AE6E">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
          <w:color w:val="auto"/>
          <w:kern w:val="0"/>
          <w:sz w:val="21"/>
          <w:szCs w:val="21"/>
        </w:rPr>
      </w:pPr>
      <w:bookmarkStart w:id="307" w:name="_Toc1463"/>
      <w:bookmarkStart w:id="308" w:name="_Toc30851"/>
      <w:bookmarkStart w:id="309" w:name="_Toc334774208"/>
      <w:bookmarkStart w:id="310" w:name="_Toc200513173"/>
      <w:bookmarkStart w:id="311" w:name="_Toc325636626"/>
      <w:bookmarkStart w:id="312" w:name="_Toc531594774"/>
      <w:bookmarkStart w:id="313" w:name="_Toc317863468"/>
      <w:r>
        <w:rPr>
          <w:rFonts w:ascii="Times New Roman" w:hAnsi="Times New Roman" w:eastAsia="方正仿宋_GBK" w:cs="Times New Roman"/>
          <w:b/>
          <w:color w:val="auto"/>
          <w:kern w:val="0"/>
          <w:sz w:val="21"/>
          <w:szCs w:val="21"/>
        </w:rPr>
        <w:t>9.1 对招标人的纪律要求</w:t>
      </w:r>
      <w:bookmarkEnd w:id="307"/>
      <w:bookmarkEnd w:id="308"/>
      <w:bookmarkEnd w:id="309"/>
      <w:bookmarkEnd w:id="310"/>
      <w:bookmarkEnd w:id="311"/>
      <w:bookmarkEnd w:id="312"/>
      <w:bookmarkEnd w:id="313"/>
    </w:p>
    <w:p w14:paraId="17B183D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14" w:name="_Toc3181"/>
      <w:r>
        <w:rPr>
          <w:rFonts w:ascii="Times New Roman" w:hAnsi="Times New Roman" w:eastAsia="方正仿宋_GBK" w:cs="Times New Roman"/>
          <w:color w:val="auto"/>
          <w:kern w:val="0"/>
          <w:sz w:val="21"/>
          <w:szCs w:val="21"/>
        </w:rPr>
        <w:t>招标人不得泄漏招标投标活动中应当保密的情况和资料，不得与投标人串通损害国家利益、社会公共利益或者他人合法权益。</w:t>
      </w:r>
      <w:bookmarkEnd w:id="314"/>
    </w:p>
    <w:p w14:paraId="101C56D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315" w:name="_Toc22500"/>
      <w:bookmarkStart w:id="316" w:name="_Toc270"/>
      <w:bookmarkStart w:id="317" w:name="_Toc317863469"/>
      <w:bookmarkStart w:id="318" w:name="_Toc531594775"/>
      <w:bookmarkStart w:id="319" w:name="_Toc200513174"/>
      <w:bookmarkStart w:id="320" w:name="_Toc325636627"/>
      <w:bookmarkStart w:id="321" w:name="_Toc334774209"/>
      <w:r>
        <w:rPr>
          <w:rFonts w:ascii="Times New Roman" w:hAnsi="Times New Roman" w:eastAsia="方正仿宋_GBK" w:cs="Times New Roman"/>
          <w:b/>
          <w:color w:val="auto"/>
          <w:kern w:val="0"/>
          <w:sz w:val="21"/>
          <w:szCs w:val="21"/>
        </w:rPr>
        <w:t>9.2 对投标人的纪律要求</w:t>
      </w:r>
      <w:bookmarkEnd w:id="315"/>
      <w:bookmarkEnd w:id="316"/>
      <w:bookmarkEnd w:id="317"/>
      <w:bookmarkEnd w:id="318"/>
      <w:bookmarkEnd w:id="319"/>
      <w:bookmarkEnd w:id="320"/>
      <w:bookmarkEnd w:id="321"/>
    </w:p>
    <w:p w14:paraId="2A3CD16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22" w:name="_Toc18959"/>
      <w:r>
        <w:rPr>
          <w:rFonts w:ascii="Times New Roman" w:hAnsi="Times New Roman" w:eastAsia="方正仿宋_GBK" w:cs="Times New Roman"/>
          <w:color w:val="auto"/>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bookmarkEnd w:id="322"/>
    </w:p>
    <w:p w14:paraId="7A3AE91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323" w:name="_Toc531594776"/>
      <w:bookmarkStart w:id="324" w:name="_Toc200513175"/>
      <w:bookmarkStart w:id="325" w:name="_Toc325636628"/>
      <w:bookmarkStart w:id="326" w:name="_Toc30536"/>
      <w:bookmarkStart w:id="327" w:name="_Toc334774210"/>
      <w:bookmarkStart w:id="328" w:name="_Toc317863470"/>
      <w:bookmarkStart w:id="329" w:name="_Toc23543"/>
      <w:r>
        <w:rPr>
          <w:rFonts w:ascii="Times New Roman" w:hAnsi="Times New Roman" w:eastAsia="方正仿宋_GBK" w:cs="Times New Roman"/>
          <w:b/>
          <w:color w:val="auto"/>
          <w:kern w:val="0"/>
          <w:sz w:val="21"/>
          <w:szCs w:val="21"/>
        </w:rPr>
        <w:t>9.3 对评标委员会成员的纪律要求</w:t>
      </w:r>
      <w:bookmarkEnd w:id="323"/>
      <w:bookmarkEnd w:id="324"/>
      <w:bookmarkEnd w:id="325"/>
      <w:bookmarkEnd w:id="326"/>
      <w:bookmarkEnd w:id="327"/>
      <w:bookmarkEnd w:id="328"/>
      <w:bookmarkEnd w:id="329"/>
    </w:p>
    <w:p w14:paraId="410DBEF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30" w:name="_Toc8220"/>
      <w:r>
        <w:rPr>
          <w:rFonts w:ascii="Times New Roman" w:hAnsi="Times New Roman" w:eastAsia="方正仿宋_GBK" w:cs="Times New Roman"/>
          <w:color w:val="auto"/>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bookmarkEnd w:id="330"/>
    </w:p>
    <w:p w14:paraId="476339C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331" w:name="_Toc317863471"/>
      <w:bookmarkStart w:id="332" w:name="_Toc325636629"/>
      <w:bookmarkStart w:id="333" w:name="_Toc18783"/>
      <w:bookmarkStart w:id="334" w:name="_Toc200513176"/>
      <w:bookmarkStart w:id="335" w:name="_Toc8468"/>
      <w:bookmarkStart w:id="336" w:name="_Toc13285"/>
      <w:bookmarkStart w:id="337" w:name="_Toc531594777"/>
      <w:bookmarkStart w:id="338" w:name="_Toc334774211"/>
      <w:r>
        <w:rPr>
          <w:rFonts w:ascii="Times New Roman" w:hAnsi="Times New Roman" w:eastAsia="方正仿宋_GBK" w:cs="Times New Roman"/>
          <w:b/>
          <w:color w:val="auto"/>
          <w:kern w:val="0"/>
          <w:sz w:val="21"/>
          <w:szCs w:val="21"/>
        </w:rPr>
        <w:t>9.4 对与评标活动有关的工作人员的纪律要求</w:t>
      </w:r>
      <w:bookmarkEnd w:id="331"/>
      <w:bookmarkEnd w:id="332"/>
      <w:bookmarkEnd w:id="333"/>
      <w:bookmarkEnd w:id="334"/>
      <w:bookmarkEnd w:id="335"/>
      <w:bookmarkEnd w:id="336"/>
      <w:bookmarkEnd w:id="337"/>
      <w:bookmarkEnd w:id="338"/>
    </w:p>
    <w:p w14:paraId="44AC8EC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39" w:name="_Toc17664"/>
      <w:r>
        <w:rPr>
          <w:rFonts w:ascii="Times New Roman" w:hAnsi="Times New Roman" w:eastAsia="方正仿宋_GBK" w:cs="Times New Roman"/>
          <w:color w:val="auto"/>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39"/>
    </w:p>
    <w:p w14:paraId="2AEDB84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color w:val="auto"/>
          <w:kern w:val="0"/>
          <w:sz w:val="21"/>
          <w:szCs w:val="21"/>
        </w:rPr>
      </w:pPr>
      <w:bookmarkStart w:id="340" w:name="_Toc334774212"/>
      <w:bookmarkStart w:id="341" w:name="_Toc325636630"/>
      <w:bookmarkStart w:id="342" w:name="_Toc200513177"/>
      <w:bookmarkStart w:id="343" w:name="_Toc531594778"/>
      <w:bookmarkStart w:id="344" w:name="_Toc17360"/>
      <w:bookmarkStart w:id="345" w:name="_Toc317863472"/>
      <w:bookmarkStart w:id="346" w:name="_Toc22837"/>
      <w:bookmarkStart w:id="347" w:name="_Toc13124"/>
      <w:r>
        <w:rPr>
          <w:rFonts w:ascii="Times New Roman" w:hAnsi="Times New Roman" w:eastAsia="方正仿宋_GBK" w:cs="Times New Roman"/>
          <w:b/>
          <w:color w:val="auto"/>
          <w:kern w:val="0"/>
          <w:sz w:val="21"/>
          <w:szCs w:val="21"/>
        </w:rPr>
        <w:t>9.5 投诉</w:t>
      </w:r>
      <w:bookmarkEnd w:id="340"/>
      <w:bookmarkEnd w:id="341"/>
      <w:bookmarkEnd w:id="342"/>
      <w:bookmarkEnd w:id="343"/>
      <w:bookmarkEnd w:id="344"/>
      <w:bookmarkEnd w:id="345"/>
      <w:bookmarkEnd w:id="346"/>
      <w:bookmarkEnd w:id="347"/>
    </w:p>
    <w:p w14:paraId="7CC2D1F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48" w:name="_Toc32603"/>
      <w:r>
        <w:rPr>
          <w:rFonts w:ascii="Times New Roman" w:hAnsi="Times New Roman" w:eastAsia="方正仿宋_GBK" w:cs="Times New Roman"/>
          <w:color w:val="auto"/>
          <w:kern w:val="0"/>
          <w:sz w:val="21"/>
          <w:szCs w:val="21"/>
        </w:rPr>
        <w:t>投标人和其他利害关系人认为本次招标活动违反法律、法规和规章规定的，有权向学院有关行政监督部门投诉。</w:t>
      </w:r>
      <w:bookmarkEnd w:id="348"/>
    </w:p>
    <w:p w14:paraId="58FE7CBF">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color w:val="auto"/>
          <w:w w:val="99"/>
          <w:kern w:val="0"/>
          <w:sz w:val="21"/>
          <w:szCs w:val="21"/>
          <w:lang w:val="zh-CN"/>
        </w:rPr>
      </w:pPr>
      <w:bookmarkStart w:id="349" w:name="_Toc531594779"/>
      <w:bookmarkStart w:id="350" w:name="_Toc31881"/>
      <w:bookmarkStart w:id="351" w:name="_Toc6107"/>
      <w:bookmarkStart w:id="352" w:name="_Toc334774213"/>
      <w:bookmarkStart w:id="353" w:name="_Toc14201"/>
      <w:r>
        <w:rPr>
          <w:rFonts w:ascii="Times New Roman" w:hAnsi="Times New Roman" w:eastAsia="方正楷体_GBK" w:cs="Times New Roman"/>
          <w:b/>
          <w:color w:val="auto"/>
          <w:w w:val="99"/>
          <w:kern w:val="0"/>
          <w:sz w:val="21"/>
          <w:szCs w:val="21"/>
          <w:lang w:val="zh-CN"/>
        </w:rPr>
        <w:t>10.其他</w:t>
      </w:r>
      <w:bookmarkEnd w:id="349"/>
      <w:bookmarkEnd w:id="350"/>
      <w:bookmarkEnd w:id="351"/>
      <w:bookmarkEnd w:id="352"/>
      <w:bookmarkEnd w:id="353"/>
    </w:p>
    <w:p w14:paraId="3604A14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354" w:name="_Toc29828"/>
      <w:r>
        <w:rPr>
          <w:rFonts w:ascii="Times New Roman" w:hAnsi="Times New Roman" w:eastAsia="方正仿宋_GBK" w:cs="Times New Roman"/>
          <w:color w:val="auto"/>
          <w:kern w:val="0"/>
          <w:sz w:val="21"/>
          <w:szCs w:val="21"/>
        </w:rPr>
        <w:t>其他补充内容要求见投标人</w:t>
      </w:r>
      <w:r>
        <w:rPr>
          <w:rFonts w:hint="eastAsia" w:ascii="Times New Roman" w:hAnsi="Times New Roman" w:eastAsia="方正仿宋_GBK" w:cs="Times New Roman"/>
          <w:color w:val="auto"/>
          <w:kern w:val="0"/>
          <w:sz w:val="21"/>
          <w:szCs w:val="21"/>
        </w:rPr>
        <w:t>须</w:t>
      </w:r>
      <w:r>
        <w:rPr>
          <w:rFonts w:ascii="Times New Roman" w:hAnsi="Times New Roman" w:eastAsia="方正仿宋_GBK" w:cs="Times New Roman"/>
          <w:color w:val="auto"/>
          <w:kern w:val="0"/>
          <w:sz w:val="21"/>
          <w:szCs w:val="21"/>
        </w:rPr>
        <w:t>知内容和前附表。</w:t>
      </w:r>
      <w:bookmarkEnd w:id="354"/>
    </w:p>
    <w:p w14:paraId="46295157">
      <w:pPr>
        <w:autoSpaceDE w:val="0"/>
        <w:autoSpaceDN w:val="0"/>
        <w:adjustRightInd w:val="0"/>
        <w:snapToGrid w:val="0"/>
        <w:spacing w:before="16" w:line="240" w:lineRule="exact"/>
        <w:jc w:val="left"/>
        <w:outlineLvl w:val="2"/>
        <w:rPr>
          <w:rFonts w:ascii="Times New Roman" w:hAnsi="Times New Roman" w:eastAsia="方正仿宋_GBK" w:cs="Times New Roman"/>
          <w:color w:val="auto"/>
          <w:kern w:val="0"/>
          <w:sz w:val="32"/>
          <w:szCs w:val="32"/>
        </w:rPr>
        <w:sectPr>
          <w:headerReference r:id="rId3" w:type="default"/>
          <w:footerReference r:id="rId4" w:type="default"/>
          <w:pgSz w:w="11905" w:h="16838"/>
          <w:pgMar w:top="1440" w:right="1468" w:bottom="1440" w:left="1440" w:header="851" w:footer="992" w:gutter="0"/>
          <w:cols w:space="0" w:num="1"/>
          <w:rtlGutter w:val="0"/>
          <w:docGrid w:linePitch="312" w:charSpace="0"/>
        </w:sectPr>
      </w:pPr>
    </w:p>
    <w:p w14:paraId="477FC3DF">
      <w:pPr>
        <w:pStyle w:val="2"/>
        <w:numPr>
          <w:ilvl w:val="0"/>
          <w:numId w:val="0"/>
        </w:numPr>
        <w:spacing w:before="0" w:after="0" w:line="600" w:lineRule="exact"/>
        <w:ind w:firstLine="880" w:firstLineChars="200"/>
        <w:jc w:val="center"/>
        <w:rPr>
          <w:rFonts w:ascii="Times New Roman" w:hAnsi="Times New Roman" w:eastAsia="方正小标宋_GBK" w:cs="Times New Roman"/>
          <w:color w:val="auto"/>
        </w:rPr>
      </w:pPr>
      <w:bookmarkStart w:id="355" w:name="_Toc18694"/>
      <w:bookmarkStart w:id="356" w:name="_Toc10725332"/>
      <w:r>
        <w:rPr>
          <w:rFonts w:ascii="Times New Roman" w:hAnsi="Times New Roman" w:eastAsia="方正小标宋_GBK" w:cs="Times New Roman"/>
          <w:color w:val="auto"/>
        </w:rPr>
        <w:t>第三章 招标数量及参数要求</w:t>
      </w:r>
      <w:bookmarkEnd w:id="355"/>
      <w:bookmarkEnd w:id="356"/>
    </w:p>
    <w:p w14:paraId="4E8EB285">
      <w:pPr>
        <w:rPr>
          <w:color w:val="auto"/>
        </w:rPr>
      </w:pPr>
    </w:p>
    <w:p w14:paraId="53636F9B">
      <w:pPr>
        <w:widowControl/>
        <w:numPr>
          <w:ilvl w:val="0"/>
          <w:numId w:val="12"/>
        </w:numPr>
        <w:spacing w:line="520" w:lineRule="exact"/>
        <w:jc w:val="left"/>
        <w:rPr>
          <w:rFonts w:ascii="Times New Roman" w:hAnsi="Times New Roman" w:eastAsia="方正黑体_GBK" w:cs="Times New Roman"/>
          <w:b/>
          <w:color w:val="auto"/>
          <w:sz w:val="32"/>
          <w:szCs w:val="32"/>
        </w:rPr>
      </w:pPr>
      <w:r>
        <w:rPr>
          <w:rFonts w:hint="eastAsia" w:ascii="Times New Roman" w:hAnsi="Times New Roman" w:eastAsia="方正黑体_GBK" w:cs="Times New Roman"/>
          <w:b/>
          <w:color w:val="auto"/>
          <w:sz w:val="32"/>
          <w:szCs w:val="32"/>
        </w:rPr>
        <w:t>采购清单</w:t>
      </w:r>
    </w:p>
    <w:p w14:paraId="2F230F7D">
      <w:pPr>
        <w:widowControl/>
        <w:spacing w:line="520" w:lineRule="exact"/>
        <w:jc w:val="left"/>
        <w:rPr>
          <w:rFonts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rPr>
        <w:t>(1)智能车实验室建设采购清单</w:t>
      </w:r>
    </w:p>
    <w:tbl>
      <w:tblPr>
        <w:tblStyle w:val="43"/>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73"/>
        <w:gridCol w:w="4348"/>
        <w:gridCol w:w="1065"/>
        <w:gridCol w:w="1065"/>
      </w:tblGrid>
      <w:tr w14:paraId="3624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6F15FECE">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373" w:type="dxa"/>
            <w:vAlign w:val="center"/>
          </w:tcPr>
          <w:p w14:paraId="39DD2138">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项目名称</w:t>
            </w:r>
          </w:p>
        </w:tc>
        <w:tc>
          <w:tcPr>
            <w:tcW w:w="4348" w:type="dxa"/>
            <w:vAlign w:val="center"/>
          </w:tcPr>
          <w:p w14:paraId="1378CA9B">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功能参数</w:t>
            </w:r>
          </w:p>
        </w:tc>
        <w:tc>
          <w:tcPr>
            <w:tcW w:w="1065" w:type="dxa"/>
            <w:vAlign w:val="center"/>
          </w:tcPr>
          <w:p w14:paraId="1C0169C9">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单位</w:t>
            </w:r>
          </w:p>
        </w:tc>
        <w:tc>
          <w:tcPr>
            <w:tcW w:w="1065" w:type="dxa"/>
            <w:vAlign w:val="center"/>
          </w:tcPr>
          <w:p w14:paraId="7D4416D0">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数量</w:t>
            </w:r>
          </w:p>
        </w:tc>
      </w:tr>
      <w:tr w14:paraId="2DFA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7651EA0">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w:t>
            </w:r>
          </w:p>
        </w:tc>
        <w:tc>
          <w:tcPr>
            <w:tcW w:w="1373" w:type="dxa"/>
            <w:vAlign w:val="center"/>
          </w:tcPr>
          <w:p w14:paraId="6D549878">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入门级智能车</w:t>
            </w:r>
          </w:p>
        </w:tc>
        <w:tc>
          <w:tcPr>
            <w:tcW w:w="4348" w:type="dxa"/>
            <w:vAlign w:val="center"/>
          </w:tcPr>
          <w:p w14:paraId="4275AAA9">
            <w:pPr>
              <w:spacing w:line="400" w:lineRule="exact"/>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包含摄像头、编码器、驱动板等竞赛标准套件，支持多种赛道模式</w:t>
            </w:r>
          </w:p>
        </w:tc>
        <w:tc>
          <w:tcPr>
            <w:tcW w:w="1065" w:type="dxa"/>
            <w:vAlign w:val="center"/>
          </w:tcPr>
          <w:p w14:paraId="3720DE4D">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台</w:t>
            </w:r>
          </w:p>
        </w:tc>
        <w:tc>
          <w:tcPr>
            <w:tcW w:w="1065" w:type="dxa"/>
            <w:vAlign w:val="center"/>
          </w:tcPr>
          <w:p w14:paraId="02FCFFB3">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15</w:t>
            </w:r>
          </w:p>
        </w:tc>
      </w:tr>
      <w:tr w14:paraId="7055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067CE6FF">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2</w:t>
            </w:r>
          </w:p>
        </w:tc>
        <w:tc>
          <w:tcPr>
            <w:tcW w:w="1373" w:type="dxa"/>
            <w:vAlign w:val="center"/>
          </w:tcPr>
          <w:p w14:paraId="00B67EA3">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高阶智能车</w:t>
            </w:r>
          </w:p>
        </w:tc>
        <w:tc>
          <w:tcPr>
            <w:tcW w:w="4348" w:type="dxa"/>
            <w:vAlign w:val="center"/>
          </w:tcPr>
          <w:p w14:paraId="626A8958">
            <w:pPr>
              <w:spacing w:line="400" w:lineRule="exact"/>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四驱、无刷电机、上位机控制，主控搭载GPU及16GB128位显存、激光雷达、深度摄像头、IMU、GPS、激光测距传感器</w:t>
            </w:r>
          </w:p>
        </w:tc>
        <w:tc>
          <w:tcPr>
            <w:tcW w:w="1065" w:type="dxa"/>
            <w:vAlign w:val="center"/>
          </w:tcPr>
          <w:p w14:paraId="2C23E690">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台</w:t>
            </w:r>
          </w:p>
        </w:tc>
        <w:tc>
          <w:tcPr>
            <w:tcW w:w="1065" w:type="dxa"/>
            <w:vAlign w:val="center"/>
          </w:tcPr>
          <w:p w14:paraId="7850E3DF">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w:t>
            </w:r>
          </w:p>
        </w:tc>
      </w:tr>
      <w:tr w14:paraId="345F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9421BC4">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3</w:t>
            </w:r>
          </w:p>
        </w:tc>
        <w:tc>
          <w:tcPr>
            <w:tcW w:w="1373" w:type="dxa"/>
            <w:vAlign w:val="center"/>
          </w:tcPr>
          <w:p w14:paraId="682FFBE7">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微缩竞赛赛道</w:t>
            </w:r>
          </w:p>
        </w:tc>
        <w:tc>
          <w:tcPr>
            <w:tcW w:w="4348" w:type="dxa"/>
            <w:vAlign w:val="center"/>
          </w:tcPr>
          <w:p w14:paraId="742C3AF7">
            <w:pPr>
              <w:spacing w:line="400" w:lineRule="exact"/>
              <w:rPr>
                <w:rFonts w:ascii="Times New Roman" w:hAnsi="Times New Roman" w:eastAsia="方正仿宋_GBK" w:cs="Times New Roman"/>
                <w:color w:val="auto"/>
                <w:sz w:val="28"/>
                <w:szCs w:val="28"/>
              </w:rPr>
            </w:pPr>
            <w:r>
              <w:rPr>
                <w:rFonts w:ascii="Times New Roman" w:hAnsi="Times New Roman" w:cs="Times New Roman"/>
                <w:color w:val="auto"/>
                <w:sz w:val="28"/>
                <w:szCs w:val="28"/>
              </w:rPr>
              <w:t>模块化设计，面积≥25㎡，带底座、围栏、交通标志，支持扩展</w:t>
            </w:r>
          </w:p>
        </w:tc>
        <w:tc>
          <w:tcPr>
            <w:tcW w:w="1065" w:type="dxa"/>
            <w:vAlign w:val="center"/>
          </w:tcPr>
          <w:p w14:paraId="5FDF02E6">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套</w:t>
            </w:r>
          </w:p>
        </w:tc>
        <w:tc>
          <w:tcPr>
            <w:tcW w:w="1065" w:type="dxa"/>
            <w:vAlign w:val="center"/>
          </w:tcPr>
          <w:p w14:paraId="097F246C">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w:t>
            </w:r>
          </w:p>
        </w:tc>
      </w:tr>
      <w:tr w14:paraId="1FA2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B9E1C58">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4</w:t>
            </w:r>
          </w:p>
        </w:tc>
        <w:tc>
          <w:tcPr>
            <w:tcW w:w="1373" w:type="dxa"/>
            <w:vAlign w:val="center"/>
          </w:tcPr>
          <w:p w14:paraId="3BB24206">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收纳柜</w:t>
            </w:r>
          </w:p>
        </w:tc>
        <w:tc>
          <w:tcPr>
            <w:tcW w:w="4348" w:type="dxa"/>
            <w:vAlign w:val="center"/>
          </w:tcPr>
          <w:p w14:paraId="61E611B1">
            <w:pPr>
              <w:spacing w:line="400" w:lineRule="exact"/>
              <w:rPr>
                <w:rFonts w:ascii="Times New Roman" w:hAnsi="Times New Roman" w:eastAsia="方正仿宋_GBK" w:cs="Times New Roman"/>
                <w:color w:val="auto"/>
                <w:sz w:val="28"/>
                <w:szCs w:val="28"/>
              </w:rPr>
            </w:pPr>
            <w:r>
              <w:rPr>
                <w:rFonts w:ascii="Times New Roman" w:hAnsi="Times New Roman" w:cs="Times New Roman"/>
                <w:color w:val="auto"/>
                <w:sz w:val="28"/>
                <w:szCs w:val="28"/>
              </w:rPr>
              <w:t>用于收纳智能车、工具</w:t>
            </w:r>
          </w:p>
        </w:tc>
        <w:tc>
          <w:tcPr>
            <w:tcW w:w="1065" w:type="dxa"/>
            <w:vAlign w:val="center"/>
          </w:tcPr>
          <w:p w14:paraId="5241A6D7">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台</w:t>
            </w:r>
          </w:p>
        </w:tc>
        <w:tc>
          <w:tcPr>
            <w:tcW w:w="1065" w:type="dxa"/>
            <w:vAlign w:val="center"/>
          </w:tcPr>
          <w:p w14:paraId="3BAA6364">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10</w:t>
            </w:r>
          </w:p>
        </w:tc>
      </w:tr>
      <w:tr w14:paraId="7C78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B2DB43E">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5</w:t>
            </w:r>
          </w:p>
        </w:tc>
        <w:tc>
          <w:tcPr>
            <w:tcW w:w="1373" w:type="dxa"/>
            <w:vAlign w:val="center"/>
          </w:tcPr>
          <w:p w14:paraId="636885BD">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线路</w:t>
            </w:r>
            <w:r>
              <w:rPr>
                <w:rFonts w:ascii="Times New Roman" w:hAnsi="Times New Roman" w:cs="Times New Roman"/>
                <w:color w:val="auto"/>
                <w:sz w:val="28"/>
                <w:szCs w:val="28"/>
              </w:rPr>
              <w:t>改造</w:t>
            </w:r>
          </w:p>
        </w:tc>
        <w:tc>
          <w:tcPr>
            <w:tcW w:w="4348" w:type="dxa"/>
            <w:vAlign w:val="center"/>
          </w:tcPr>
          <w:p w14:paraId="3EF89652">
            <w:pPr>
              <w:spacing w:line="400" w:lineRule="exact"/>
              <w:rPr>
                <w:rFonts w:ascii="Times New Roman" w:hAnsi="Times New Roman" w:cs="Times New Roman"/>
                <w:color w:val="auto"/>
                <w:sz w:val="28"/>
                <w:szCs w:val="28"/>
              </w:rPr>
            </w:pPr>
            <w:r>
              <w:rPr>
                <w:rFonts w:ascii="Times New Roman" w:hAnsi="Times New Roman" w:cs="Times New Roman"/>
                <w:color w:val="auto"/>
                <w:sz w:val="28"/>
                <w:szCs w:val="28"/>
              </w:rPr>
              <w:t>网络、电源布线</w:t>
            </w:r>
          </w:p>
        </w:tc>
        <w:tc>
          <w:tcPr>
            <w:tcW w:w="1065" w:type="dxa"/>
            <w:vAlign w:val="center"/>
          </w:tcPr>
          <w:p w14:paraId="61AB9BB5">
            <w:pPr>
              <w:spacing w:line="4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项</w:t>
            </w:r>
          </w:p>
        </w:tc>
        <w:tc>
          <w:tcPr>
            <w:tcW w:w="1065" w:type="dxa"/>
            <w:vAlign w:val="center"/>
          </w:tcPr>
          <w:p w14:paraId="0F815961">
            <w:pPr>
              <w:spacing w:line="400" w:lineRule="exact"/>
              <w:jc w:val="center"/>
              <w:rPr>
                <w:rFonts w:ascii="Times New Roman" w:hAnsi="Times New Roman" w:cs="Times New Roman"/>
                <w:color w:val="auto"/>
                <w:sz w:val="28"/>
                <w:szCs w:val="28"/>
              </w:rPr>
            </w:pPr>
            <w:r>
              <w:rPr>
                <w:rFonts w:hint="eastAsia" w:ascii="Times New Roman" w:hAnsi="Times New Roman" w:eastAsia="方正仿宋_GBK" w:cs="Times New Roman"/>
                <w:color w:val="auto"/>
                <w:sz w:val="28"/>
                <w:szCs w:val="28"/>
              </w:rPr>
              <w:t>1</w:t>
            </w:r>
          </w:p>
        </w:tc>
      </w:tr>
      <w:tr w14:paraId="4CEC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8D50D51">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6</w:t>
            </w:r>
          </w:p>
        </w:tc>
        <w:tc>
          <w:tcPr>
            <w:tcW w:w="1373" w:type="dxa"/>
            <w:vAlign w:val="center"/>
          </w:tcPr>
          <w:p w14:paraId="606CBEA8">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文化宣传</w:t>
            </w:r>
          </w:p>
        </w:tc>
        <w:tc>
          <w:tcPr>
            <w:tcW w:w="4348" w:type="dxa"/>
            <w:vAlign w:val="center"/>
          </w:tcPr>
          <w:p w14:paraId="022101A4">
            <w:pPr>
              <w:spacing w:line="40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文化墙</w:t>
            </w:r>
          </w:p>
        </w:tc>
        <w:tc>
          <w:tcPr>
            <w:tcW w:w="1065" w:type="dxa"/>
            <w:vAlign w:val="center"/>
          </w:tcPr>
          <w:p w14:paraId="4748B18A">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项</w:t>
            </w:r>
          </w:p>
        </w:tc>
        <w:tc>
          <w:tcPr>
            <w:tcW w:w="1065" w:type="dxa"/>
            <w:vAlign w:val="center"/>
          </w:tcPr>
          <w:p w14:paraId="4ACFE77B">
            <w:pPr>
              <w:spacing w:line="400" w:lineRule="exact"/>
              <w:jc w:val="center"/>
              <w:rPr>
                <w:rFonts w:ascii="Times New Roman" w:hAnsi="Times New Roman" w:cs="Times New Roman"/>
                <w:color w:val="auto"/>
                <w:sz w:val="28"/>
                <w:szCs w:val="28"/>
              </w:rPr>
            </w:pPr>
            <w:r>
              <w:rPr>
                <w:rFonts w:hint="eastAsia" w:ascii="Times New Roman" w:hAnsi="Times New Roman" w:eastAsia="方正仿宋_GBK" w:cs="Times New Roman"/>
                <w:color w:val="auto"/>
                <w:sz w:val="28"/>
                <w:szCs w:val="28"/>
              </w:rPr>
              <w:t>1</w:t>
            </w:r>
          </w:p>
        </w:tc>
      </w:tr>
    </w:tbl>
    <w:p w14:paraId="7C2DC6FD">
      <w:pPr>
        <w:widowControl/>
        <w:spacing w:line="520" w:lineRule="exact"/>
        <w:jc w:val="left"/>
        <w:rPr>
          <w:rFonts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rPr>
        <w:t>(2)物联网场景应用实验室建设采购清单</w:t>
      </w:r>
    </w:p>
    <w:tbl>
      <w:tblPr>
        <w:tblStyle w:val="43"/>
        <w:tblpPr w:leftFromText="180" w:rightFromText="180" w:vertAnchor="text" w:horzAnchor="page" w:tblpXSpec="center" w:tblpY="137"/>
        <w:tblOverlap w:val="never"/>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31"/>
        <w:gridCol w:w="4488"/>
        <w:gridCol w:w="834"/>
        <w:gridCol w:w="901"/>
      </w:tblGrid>
      <w:tr w14:paraId="4BF6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vAlign w:val="center"/>
          </w:tcPr>
          <w:p w14:paraId="0337C443">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631" w:type="dxa"/>
            <w:vAlign w:val="center"/>
          </w:tcPr>
          <w:p w14:paraId="0D70E4A2">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项目名称</w:t>
            </w:r>
          </w:p>
        </w:tc>
        <w:tc>
          <w:tcPr>
            <w:tcW w:w="4488" w:type="dxa"/>
            <w:vAlign w:val="center"/>
          </w:tcPr>
          <w:p w14:paraId="308B914B">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功能参数</w:t>
            </w:r>
          </w:p>
        </w:tc>
        <w:tc>
          <w:tcPr>
            <w:tcW w:w="834" w:type="dxa"/>
            <w:vAlign w:val="center"/>
          </w:tcPr>
          <w:p w14:paraId="7551BCE4">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单位</w:t>
            </w:r>
          </w:p>
        </w:tc>
        <w:tc>
          <w:tcPr>
            <w:tcW w:w="901" w:type="dxa"/>
            <w:vAlign w:val="center"/>
          </w:tcPr>
          <w:p w14:paraId="5BC85E14">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数量</w:t>
            </w:r>
          </w:p>
        </w:tc>
      </w:tr>
      <w:tr w14:paraId="5487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vAlign w:val="center"/>
          </w:tcPr>
          <w:p w14:paraId="43422ED6">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w:t>
            </w:r>
          </w:p>
        </w:tc>
        <w:tc>
          <w:tcPr>
            <w:tcW w:w="1631" w:type="dxa"/>
            <w:vAlign w:val="center"/>
          </w:tcPr>
          <w:p w14:paraId="5D0B8E2C">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物联网工程应用实验装置</w:t>
            </w:r>
          </w:p>
        </w:tc>
        <w:tc>
          <w:tcPr>
            <w:tcW w:w="4488" w:type="dxa"/>
            <w:vAlign w:val="center"/>
          </w:tcPr>
          <w:p w14:paraId="113DA6FF">
            <w:pPr>
              <w:spacing w:line="400" w:lineRule="exact"/>
              <w:jc w:val="left"/>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STM32主控、</w:t>
            </w:r>
            <w:r>
              <w:rPr>
                <w:rFonts w:ascii="Times New Roman" w:hAnsi="Times New Roman" w:cs="Times New Roman"/>
                <w:color w:val="auto"/>
                <w:sz w:val="28"/>
                <w:szCs w:val="28"/>
              </w:rPr>
              <w:t>供电输出 3.3V/5V</w:t>
            </w:r>
            <w:r>
              <w:rPr>
                <w:rFonts w:hint="eastAsia" w:ascii="Times New Roman" w:hAnsi="Times New Roman" w:cs="Times New Roman"/>
                <w:color w:val="auto"/>
                <w:sz w:val="28"/>
                <w:szCs w:val="28"/>
              </w:rPr>
              <w:t>；</w:t>
            </w:r>
            <w:r>
              <w:rPr>
                <w:rFonts w:ascii="Times New Roman" w:hAnsi="Times New Roman" w:cs="Times New Roman"/>
                <w:color w:val="auto"/>
                <w:sz w:val="28"/>
                <w:szCs w:val="28"/>
              </w:rPr>
              <w:t>串口、以太网口、USB 拓展口</w:t>
            </w:r>
            <w:r>
              <w:rPr>
                <w:rFonts w:hint="eastAsia" w:ascii="Times New Roman" w:hAnsi="Times New Roman" w:cs="Times New Roman"/>
                <w:color w:val="auto"/>
                <w:sz w:val="28"/>
                <w:szCs w:val="28"/>
              </w:rPr>
              <w:t>；</w:t>
            </w:r>
            <w:r>
              <w:rPr>
                <w:rFonts w:ascii="Times New Roman" w:hAnsi="Times New Roman" w:cs="Times New Roman"/>
                <w:color w:val="auto"/>
                <w:sz w:val="28"/>
                <w:szCs w:val="28"/>
              </w:rPr>
              <w:t>智慧家居/安防/社区功能模块</w:t>
            </w:r>
            <w:r>
              <w:rPr>
                <w:rFonts w:hint="eastAsia" w:ascii="Times New Roman" w:hAnsi="Times New Roman" w:cs="Times New Roman"/>
                <w:color w:val="auto"/>
                <w:sz w:val="28"/>
                <w:szCs w:val="28"/>
              </w:rPr>
              <w:t>；</w:t>
            </w:r>
            <w:r>
              <w:rPr>
                <w:rFonts w:ascii="Times New Roman" w:hAnsi="Times New Roman" w:cs="Times New Roman"/>
                <w:color w:val="auto"/>
                <w:sz w:val="28"/>
                <w:szCs w:val="28"/>
              </w:rPr>
              <w:t>网络通信单元</w:t>
            </w:r>
            <w:r>
              <w:rPr>
                <w:rFonts w:hint="eastAsia" w:ascii="Times New Roman" w:hAnsi="Times New Roman" w:cs="Times New Roman"/>
                <w:color w:val="auto"/>
                <w:sz w:val="28"/>
                <w:szCs w:val="28"/>
              </w:rPr>
              <w:t>；</w:t>
            </w:r>
            <w:r>
              <w:rPr>
                <w:rFonts w:ascii="Times New Roman" w:hAnsi="Times New Roman" w:cs="Times New Roman"/>
                <w:color w:val="auto"/>
                <w:sz w:val="28"/>
                <w:szCs w:val="28"/>
              </w:rPr>
              <w:t>上位机</w:t>
            </w:r>
            <w:r>
              <w:rPr>
                <w:rFonts w:hint="eastAsia" w:ascii="Times New Roman" w:hAnsi="Times New Roman" w:cs="Times New Roman"/>
                <w:color w:val="auto"/>
                <w:sz w:val="28"/>
                <w:szCs w:val="28"/>
              </w:rPr>
              <w:t>；</w:t>
            </w:r>
            <w:r>
              <w:rPr>
                <w:rFonts w:ascii="Times New Roman" w:hAnsi="Times New Roman" w:cs="Times New Roman"/>
                <w:color w:val="auto"/>
                <w:sz w:val="28"/>
                <w:szCs w:val="28"/>
              </w:rPr>
              <w:t>云平台</w:t>
            </w:r>
          </w:p>
        </w:tc>
        <w:tc>
          <w:tcPr>
            <w:tcW w:w="834" w:type="dxa"/>
            <w:vAlign w:val="center"/>
          </w:tcPr>
          <w:p w14:paraId="053C47C7">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套</w:t>
            </w:r>
          </w:p>
        </w:tc>
        <w:tc>
          <w:tcPr>
            <w:tcW w:w="901" w:type="dxa"/>
            <w:vAlign w:val="center"/>
          </w:tcPr>
          <w:p w14:paraId="749A472D">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18</w:t>
            </w:r>
          </w:p>
        </w:tc>
      </w:tr>
      <w:tr w14:paraId="0A39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6810A714">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2</w:t>
            </w:r>
          </w:p>
        </w:tc>
        <w:tc>
          <w:tcPr>
            <w:tcW w:w="1631" w:type="dxa"/>
            <w:vAlign w:val="center"/>
          </w:tcPr>
          <w:p w14:paraId="61E693C3">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线路</w:t>
            </w:r>
            <w:r>
              <w:rPr>
                <w:rFonts w:ascii="Times New Roman" w:hAnsi="Times New Roman" w:cs="Times New Roman"/>
                <w:color w:val="auto"/>
                <w:sz w:val="28"/>
                <w:szCs w:val="28"/>
              </w:rPr>
              <w:t>改造</w:t>
            </w:r>
          </w:p>
        </w:tc>
        <w:tc>
          <w:tcPr>
            <w:tcW w:w="4488" w:type="dxa"/>
            <w:vAlign w:val="center"/>
          </w:tcPr>
          <w:p w14:paraId="2E716282">
            <w:pPr>
              <w:spacing w:line="400" w:lineRule="exact"/>
              <w:jc w:val="left"/>
              <w:rPr>
                <w:rFonts w:ascii="Times New Roman" w:hAnsi="Times New Roman" w:eastAsia="方正仿宋_GBK" w:cs="Times New Roman"/>
                <w:color w:val="auto"/>
                <w:sz w:val="28"/>
                <w:szCs w:val="28"/>
              </w:rPr>
            </w:pPr>
            <w:r>
              <w:rPr>
                <w:rFonts w:ascii="Times New Roman" w:hAnsi="Times New Roman" w:cs="Times New Roman"/>
                <w:color w:val="auto"/>
                <w:sz w:val="28"/>
                <w:szCs w:val="28"/>
              </w:rPr>
              <w:t>网络、电源布线</w:t>
            </w:r>
          </w:p>
        </w:tc>
        <w:tc>
          <w:tcPr>
            <w:tcW w:w="834" w:type="dxa"/>
            <w:vAlign w:val="center"/>
          </w:tcPr>
          <w:p w14:paraId="4EDCD9DD">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项</w:t>
            </w:r>
          </w:p>
        </w:tc>
        <w:tc>
          <w:tcPr>
            <w:tcW w:w="901" w:type="dxa"/>
            <w:vAlign w:val="center"/>
          </w:tcPr>
          <w:p w14:paraId="099ECC74">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r>
      <w:tr w14:paraId="7F2F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7DA1393">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3</w:t>
            </w:r>
          </w:p>
        </w:tc>
        <w:tc>
          <w:tcPr>
            <w:tcW w:w="1631" w:type="dxa"/>
            <w:vAlign w:val="center"/>
          </w:tcPr>
          <w:p w14:paraId="642DE157">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文化宣传</w:t>
            </w:r>
          </w:p>
        </w:tc>
        <w:tc>
          <w:tcPr>
            <w:tcW w:w="4488" w:type="dxa"/>
            <w:vAlign w:val="center"/>
          </w:tcPr>
          <w:p w14:paraId="537988BD">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文化墙</w:t>
            </w:r>
          </w:p>
        </w:tc>
        <w:tc>
          <w:tcPr>
            <w:tcW w:w="834" w:type="dxa"/>
            <w:vAlign w:val="center"/>
          </w:tcPr>
          <w:p w14:paraId="787F8FED">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项</w:t>
            </w:r>
          </w:p>
        </w:tc>
        <w:tc>
          <w:tcPr>
            <w:tcW w:w="901" w:type="dxa"/>
            <w:vAlign w:val="center"/>
          </w:tcPr>
          <w:p w14:paraId="50C16C0F">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r>
    </w:tbl>
    <w:p w14:paraId="06E71267">
      <w:pPr>
        <w:widowControl/>
        <w:numPr>
          <w:ilvl w:val="0"/>
          <w:numId w:val="13"/>
        </w:numPr>
        <w:spacing w:line="240" w:lineRule="auto"/>
        <w:jc w:val="left"/>
        <w:rPr>
          <w:rFonts w:hint="eastAsia"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rPr>
        <w:t>工科综合实验室建设方案预算表</w:t>
      </w:r>
    </w:p>
    <w:tbl>
      <w:tblPr>
        <w:tblStyle w:val="43"/>
        <w:tblpPr w:leftFromText="180" w:rightFromText="180" w:vertAnchor="text" w:horzAnchor="page" w:tblpXSpec="center" w:tblpY="250"/>
        <w:tblOverlap w:val="never"/>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95"/>
        <w:gridCol w:w="830"/>
        <w:gridCol w:w="960"/>
        <w:gridCol w:w="4402"/>
      </w:tblGrid>
      <w:tr w14:paraId="36C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F2E3444">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395" w:type="dxa"/>
            <w:vAlign w:val="center"/>
          </w:tcPr>
          <w:p w14:paraId="1A97E1A8">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项目名称</w:t>
            </w:r>
          </w:p>
        </w:tc>
        <w:tc>
          <w:tcPr>
            <w:tcW w:w="830" w:type="dxa"/>
            <w:vAlign w:val="center"/>
          </w:tcPr>
          <w:p w14:paraId="4FB8B269">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单位</w:t>
            </w:r>
          </w:p>
        </w:tc>
        <w:tc>
          <w:tcPr>
            <w:tcW w:w="960" w:type="dxa"/>
            <w:vAlign w:val="center"/>
          </w:tcPr>
          <w:p w14:paraId="7BA151D0">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数量</w:t>
            </w:r>
          </w:p>
        </w:tc>
        <w:tc>
          <w:tcPr>
            <w:tcW w:w="4402" w:type="dxa"/>
            <w:vAlign w:val="center"/>
          </w:tcPr>
          <w:p w14:paraId="57F6EBDB">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备注</w:t>
            </w:r>
          </w:p>
        </w:tc>
      </w:tr>
      <w:tr w14:paraId="370E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341DEEC">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1</w:t>
            </w:r>
          </w:p>
        </w:tc>
        <w:tc>
          <w:tcPr>
            <w:tcW w:w="1395" w:type="dxa"/>
            <w:vAlign w:val="center"/>
          </w:tcPr>
          <w:p w14:paraId="4111FCD2">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实验室整体搬迁</w:t>
            </w:r>
          </w:p>
        </w:tc>
        <w:tc>
          <w:tcPr>
            <w:tcW w:w="830" w:type="dxa"/>
            <w:vAlign w:val="center"/>
          </w:tcPr>
          <w:p w14:paraId="6A1CCC25">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项</w:t>
            </w:r>
          </w:p>
        </w:tc>
        <w:tc>
          <w:tcPr>
            <w:tcW w:w="960" w:type="dxa"/>
            <w:vAlign w:val="center"/>
          </w:tcPr>
          <w:p w14:paraId="6DD088B2">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c>
          <w:tcPr>
            <w:tcW w:w="4402" w:type="dxa"/>
            <w:vAlign w:val="center"/>
          </w:tcPr>
          <w:p w14:paraId="151DE607">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搬迁后布局合理、设备状态良好</w:t>
            </w:r>
          </w:p>
        </w:tc>
      </w:tr>
      <w:tr w14:paraId="1E00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E65FE5D">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2</w:t>
            </w:r>
          </w:p>
        </w:tc>
        <w:tc>
          <w:tcPr>
            <w:tcW w:w="1395" w:type="dxa"/>
            <w:vAlign w:val="center"/>
          </w:tcPr>
          <w:p w14:paraId="69DC0907">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线路</w:t>
            </w:r>
            <w:r>
              <w:rPr>
                <w:rFonts w:ascii="Times New Roman" w:hAnsi="Times New Roman" w:cs="Times New Roman"/>
                <w:color w:val="auto"/>
                <w:sz w:val="28"/>
                <w:szCs w:val="28"/>
              </w:rPr>
              <w:t>改造</w:t>
            </w:r>
          </w:p>
        </w:tc>
        <w:tc>
          <w:tcPr>
            <w:tcW w:w="830" w:type="dxa"/>
            <w:vAlign w:val="center"/>
          </w:tcPr>
          <w:p w14:paraId="39534A2E">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项</w:t>
            </w:r>
          </w:p>
        </w:tc>
        <w:tc>
          <w:tcPr>
            <w:tcW w:w="960" w:type="dxa"/>
            <w:vAlign w:val="center"/>
          </w:tcPr>
          <w:p w14:paraId="4B518B1F">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c>
          <w:tcPr>
            <w:tcW w:w="4402" w:type="dxa"/>
            <w:vAlign w:val="center"/>
          </w:tcPr>
          <w:p w14:paraId="5528EC5D">
            <w:pPr>
              <w:spacing w:line="400" w:lineRule="exact"/>
              <w:jc w:val="left"/>
              <w:rPr>
                <w:rFonts w:ascii="Times New Roman" w:hAnsi="Times New Roman" w:eastAsia="方正仿宋_GBK" w:cs="Times New Roman"/>
                <w:color w:val="auto"/>
                <w:sz w:val="28"/>
                <w:szCs w:val="28"/>
              </w:rPr>
            </w:pPr>
            <w:r>
              <w:rPr>
                <w:rFonts w:ascii="Times New Roman" w:hAnsi="Times New Roman" w:cs="Times New Roman"/>
                <w:color w:val="auto"/>
                <w:sz w:val="28"/>
                <w:szCs w:val="28"/>
              </w:rPr>
              <w:t>网络、电源布线</w:t>
            </w:r>
          </w:p>
        </w:tc>
      </w:tr>
      <w:tr w14:paraId="0CB1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46C644D">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3</w:t>
            </w:r>
          </w:p>
        </w:tc>
        <w:tc>
          <w:tcPr>
            <w:tcW w:w="1395" w:type="dxa"/>
            <w:vAlign w:val="center"/>
          </w:tcPr>
          <w:p w14:paraId="1D5099D8">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文化宣传</w:t>
            </w:r>
          </w:p>
        </w:tc>
        <w:tc>
          <w:tcPr>
            <w:tcW w:w="830" w:type="dxa"/>
            <w:vAlign w:val="center"/>
          </w:tcPr>
          <w:p w14:paraId="382AABF7">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项</w:t>
            </w:r>
          </w:p>
        </w:tc>
        <w:tc>
          <w:tcPr>
            <w:tcW w:w="960" w:type="dxa"/>
            <w:vAlign w:val="center"/>
          </w:tcPr>
          <w:p w14:paraId="5813FAEC">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c>
          <w:tcPr>
            <w:tcW w:w="4402" w:type="dxa"/>
            <w:vAlign w:val="center"/>
          </w:tcPr>
          <w:p w14:paraId="67AA55FD">
            <w:pPr>
              <w:spacing w:line="400" w:lineRule="exact"/>
              <w:jc w:val="left"/>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文化墙</w:t>
            </w:r>
          </w:p>
        </w:tc>
      </w:tr>
    </w:tbl>
    <w:p w14:paraId="258D2A8B">
      <w:pPr>
        <w:rPr>
          <w:rFonts w:hint="eastAsia" w:ascii="Times New Roman" w:hAnsi="Times New Roman" w:eastAsia="方正小标宋_GBK" w:cs="Times New Roman"/>
          <w:color w:val="auto"/>
          <w:lang w:eastAsia="zh-CN"/>
        </w:rPr>
      </w:pPr>
      <w:r>
        <w:rPr>
          <w:rFonts w:hint="eastAsia" w:ascii="Times New Roman" w:hAnsi="Times New Roman" w:eastAsia="方正小标宋_GBK" w:cs="Times New Roman"/>
          <w:color w:val="auto"/>
        </w:rPr>
        <w:t>注:投标产品须满足国家物联网、通信设备及电子信息系统行业标准，性能达到高校专业教学与行业级应用开发需求；通信协议须原生支持MQTT等标准物联网协议，保障系统的开放性、互联互通及可扩展能力</w:t>
      </w:r>
      <w:r>
        <w:rPr>
          <w:rFonts w:hint="eastAsia" w:ascii="Times New Roman" w:hAnsi="Times New Roman" w:eastAsia="方正小标宋_GBK" w:cs="Times New Roman"/>
          <w:color w:val="auto"/>
          <w:lang w:eastAsia="zh-CN"/>
        </w:rPr>
        <w:t>。</w:t>
      </w:r>
    </w:p>
    <w:p w14:paraId="36D23360">
      <w:pPr>
        <w:rPr>
          <w:rFonts w:ascii="Times New Roman" w:hAnsi="Times New Roman" w:eastAsia="方正小标宋_GBK" w:cs="Times New Roman"/>
          <w:color w:val="auto"/>
        </w:rPr>
      </w:pPr>
    </w:p>
    <w:p w14:paraId="7EC89302">
      <w:pPr>
        <w:widowControl/>
        <w:numPr>
          <w:ilvl w:val="0"/>
          <w:numId w:val="12"/>
        </w:numPr>
        <w:spacing w:line="520" w:lineRule="exact"/>
        <w:jc w:val="left"/>
        <w:rPr>
          <w:rFonts w:ascii="Times New Roman" w:hAnsi="Times New Roman" w:eastAsia="方正黑体_GBK" w:cs="Times New Roman"/>
          <w:b/>
          <w:color w:val="auto"/>
          <w:sz w:val="32"/>
          <w:szCs w:val="32"/>
        </w:rPr>
      </w:pPr>
      <w:bookmarkStart w:id="357" w:name="_Toc26872"/>
      <w:r>
        <w:rPr>
          <w:rFonts w:hint="eastAsia" w:ascii="Times New Roman" w:hAnsi="Times New Roman" w:eastAsia="方正黑体_GBK" w:cs="Times New Roman"/>
          <w:b/>
          <w:color w:val="auto"/>
          <w:sz w:val="32"/>
          <w:szCs w:val="32"/>
        </w:rPr>
        <w:t>商务要求</w:t>
      </w:r>
    </w:p>
    <w:p w14:paraId="6FBCA850">
      <w:pPr>
        <w:spacing w:line="560" w:lineRule="exact"/>
        <w:ind w:firstLine="560" w:firstLineChars="200"/>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 实验室布局需符合教学空间要求，强弱电布线规范、安全、隐蔽，满足设备用电与高速网络信号传输需求，不破坏原有建筑主体结构。</w:t>
      </w:r>
    </w:p>
    <w:p w14:paraId="3391F72E">
      <w:pPr>
        <w:spacing w:line="560" w:lineRule="exact"/>
        <w:ind w:firstLine="560" w:firstLineChars="200"/>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 实验室设计需采用模块化、分区架构（如智能车竞赛区、物联网应用开发区），各功能区相对独立，便于未来设备扩展与升级。</w:t>
      </w:r>
    </w:p>
    <w:p w14:paraId="01C46BC4">
      <w:pPr>
        <w:spacing w:line="560" w:lineRule="exact"/>
        <w:ind w:firstLine="560" w:firstLineChars="200"/>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3. 配套提供不少于</w:t>
      </w:r>
      <w:r>
        <w:rPr>
          <w:rFonts w:hint="eastAsia" w:ascii="Times New Roman" w:hAnsi="Times New Roman" w:eastAsia="方正仿宋_GBK" w:cs="Times New Roman"/>
          <w:color w:val="auto"/>
          <w:sz w:val="28"/>
          <w:szCs w:val="28"/>
        </w:rPr>
        <w:t>16</w:t>
      </w:r>
      <w:r>
        <w:rPr>
          <w:rFonts w:ascii="Times New Roman" w:hAnsi="Times New Roman" w:eastAsia="方正仿宋_GBK" w:cs="Times New Roman"/>
          <w:color w:val="auto"/>
          <w:sz w:val="28"/>
          <w:szCs w:val="28"/>
        </w:rPr>
        <w:t>个</w:t>
      </w:r>
      <w:r>
        <w:rPr>
          <w:rFonts w:hint="eastAsia" w:ascii="Times New Roman" w:hAnsi="Times New Roman" w:eastAsia="方正仿宋_GBK" w:cs="Times New Roman"/>
          <w:color w:val="auto"/>
          <w:sz w:val="28"/>
          <w:szCs w:val="28"/>
        </w:rPr>
        <w:t>包含</w:t>
      </w:r>
      <w:r>
        <w:rPr>
          <w:rFonts w:ascii="Times New Roman" w:hAnsi="Times New Roman" w:eastAsia="方正仿宋_GBK" w:cs="Times New Roman"/>
          <w:color w:val="auto"/>
          <w:sz w:val="28"/>
          <w:szCs w:val="28"/>
        </w:rPr>
        <w:t>综合性/设计性实验项目的指导书源文件，并将实验室资源融入2-3门核心课程的教学大纲</w:t>
      </w:r>
      <w:r>
        <w:rPr>
          <w:rFonts w:hint="eastAsia" w:ascii="Times New Roman" w:hAnsi="Times New Roman" w:eastAsia="方正仿宋_GBK" w:cs="Times New Roman"/>
          <w:color w:val="auto"/>
          <w:sz w:val="28"/>
          <w:szCs w:val="28"/>
        </w:rPr>
        <w:t>和教案</w:t>
      </w:r>
      <w:r>
        <w:rPr>
          <w:rFonts w:ascii="Times New Roman" w:hAnsi="Times New Roman" w:eastAsia="方正仿宋_GBK" w:cs="Times New Roman"/>
          <w:color w:val="auto"/>
          <w:sz w:val="28"/>
          <w:szCs w:val="28"/>
        </w:rPr>
        <w:t>。</w:t>
      </w:r>
    </w:p>
    <w:p w14:paraId="6766FFB0">
      <w:pPr>
        <w:spacing w:line="560" w:lineRule="exact"/>
        <w:ind w:firstLine="560" w:firstLineChars="200"/>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4. 设备配置需充分考虑现有学生规模及未来专业发展需求，避免性能瓶颈，核心平台应具备处理AI边缘计算、大数据分析等较高负载任务的能力。</w:t>
      </w:r>
    </w:p>
    <w:p w14:paraId="756BF9B3">
      <w:pPr>
        <w:spacing w:line="560" w:lineRule="exact"/>
        <w:ind w:firstLine="560" w:firstLineChars="200"/>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5. 整体建设需参照申报书中提供的布局图及效果意向图实施，确保空间布局合理、美观、实用。</w:t>
      </w:r>
    </w:p>
    <w:p w14:paraId="4A57350C">
      <w:pPr>
        <w:rPr>
          <w:rFonts w:ascii="Times New Roman" w:hAnsi="Times New Roman" w:eastAsia="方正小标宋_GBK" w:cs="Times New Roman"/>
          <w:color w:val="auto"/>
        </w:rPr>
      </w:pPr>
    </w:p>
    <w:p w14:paraId="0E9AF24B">
      <w:pPr>
        <w:widowControl/>
        <w:numPr>
          <w:ilvl w:val="0"/>
          <w:numId w:val="12"/>
        </w:numPr>
        <w:spacing w:line="520" w:lineRule="exact"/>
        <w:jc w:val="left"/>
        <w:rPr>
          <w:rFonts w:ascii="Times New Roman" w:hAnsi="Times New Roman" w:eastAsia="方正黑体_GBK" w:cs="Times New Roman"/>
          <w:b/>
          <w:color w:val="auto"/>
          <w:sz w:val="32"/>
          <w:szCs w:val="32"/>
        </w:rPr>
      </w:pPr>
      <w:r>
        <w:rPr>
          <w:rFonts w:hint="eastAsia" w:ascii="Times New Roman" w:hAnsi="Times New Roman" w:eastAsia="方正黑体_GBK" w:cs="Times New Roman"/>
          <w:b/>
          <w:color w:val="auto"/>
          <w:sz w:val="32"/>
          <w:szCs w:val="32"/>
        </w:rPr>
        <w:t>功能需求</w:t>
      </w:r>
    </w:p>
    <w:p w14:paraId="694DCE0F">
      <w:pPr>
        <w:widowControl/>
        <w:spacing w:line="520" w:lineRule="exact"/>
        <w:jc w:val="left"/>
        <w:rPr>
          <w:rFonts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rPr>
        <w:t>(一)智能车实验室</w:t>
      </w:r>
    </w:p>
    <w:p w14:paraId="68E6F2BC">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 核心功能目标：承担《嵌入式系统与设计》、《传感器原理及应用实验》、《物联网通信技术课程设计》、《专业综合实践（嵌入式方向）》等课程的教学与实验任务。实验内容涵盖验证性实验、设计性实验和综合性实验，支持学生进行硬件接口设计、底层驱动开发、嵌入式编程以及多传感器融合应用等全链路技术实践。同时，实验室需对接全国大学生智能汽车竞赛、中国机器人及人工智能大赛等学科竞赛，承担日常备赛、模拟训练及选拔工作。</w:t>
      </w:r>
    </w:p>
    <w:p w14:paraId="7EFAF59A">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 具体功能指标：</w:t>
      </w:r>
    </w:p>
    <w:p w14:paraId="7CAD16F1">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 xml:space="preserve"> (1) 搭建“高低搭配”的智能车实践平台，包含不少于15台入门级竞赛智能车和</w:t>
      </w:r>
      <w:r>
        <w:rPr>
          <w:rFonts w:ascii="Times New Roman" w:hAnsi="Times New Roman" w:eastAsia="方正仿宋_GBK" w:cs="Times New Roman"/>
          <w:color w:val="auto"/>
          <w:sz w:val="28"/>
          <w:szCs w:val="28"/>
        </w:rPr>
        <w:t>1</w:t>
      </w:r>
      <w:r>
        <w:rPr>
          <w:rFonts w:hint="eastAsia" w:ascii="Times New Roman" w:hAnsi="Times New Roman" w:eastAsia="方正仿宋_GBK" w:cs="Times New Roman"/>
          <w:color w:val="auto"/>
          <w:sz w:val="28"/>
          <w:szCs w:val="28"/>
        </w:rPr>
        <w:t>台高阶科研型智能车，满足从基础教学到高阶创新的多层次需求。</w:t>
      </w:r>
    </w:p>
    <w:p w14:paraId="5E4E0308">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 xml:space="preserve"> (2) 配置一套面积不少于25㎡的模块化微缩竞赛赛道，配备底座、围栏、交通标志等，支持扩展，能够模拟真实竞赛场景及智慧交通应用场景。</w:t>
      </w:r>
    </w:p>
    <w:p w14:paraId="71D723F8">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 xml:space="preserve"> (3) 支持多传感器（摄像头、编码器、陀螺仪、GPS等）数据采集与融合算法验证，实现循迹、避障、自主导航、视觉识别等核心功能的教学与开发。</w:t>
      </w:r>
    </w:p>
    <w:p w14:paraId="658BC7AB">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 xml:space="preserve"> (4) 可同时容纳1个标准班（约30-40人）开展实验教学，年度实训覆盖学生规模达到1000人次以上，并满足20人以上的竞赛团队备赛需求。</w:t>
      </w:r>
    </w:p>
    <w:p w14:paraId="3E77DE96">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（5）实施实验室环境建设，围绕安全规范与文化建设两大核心，内容包括安装在实验室门口的信息铭牌，墙壁上张贴规章制度、操作规程、文化展示专栏。</w:t>
      </w:r>
    </w:p>
    <w:p w14:paraId="17A2F6D0">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（6）安全措施，配备不少于两台水基灭火器。</w:t>
      </w:r>
    </w:p>
    <w:p w14:paraId="61E346A1">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（二）物联网场景应用实验室</w:t>
      </w:r>
    </w:p>
    <w:p w14:paraId="671969C0">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 核心功能目标：建设一个集教学、实训、创新于一体的物联网综合应用实验室，满足物联网工程、人工智能等专业《物联网系统设计与实现》、《智能控制系统综合实践》、《计算机视觉技术与应用》等核心课程的实操教学需求。通过构建真实或高度仿真的行业应用场景，让学生完整实践物联网“感知、传输、处理、应用”的技术链条。</w:t>
      </w:r>
    </w:p>
    <w:p w14:paraId="54FACDBB">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 具体功能指标：</w:t>
      </w:r>
    </w:p>
    <w:p w14:paraId="34B356C0">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 配置不少于18套物联网工程应用实验装置，每套装置需搭载智慧家居、智慧安防、智慧社区等核心功能模块。</w:t>
      </w:r>
    </w:p>
    <w:p w14:paraId="5F13D917">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 支持全屋智能设备装调、多协议无线组网（ZigBee/WiFi/BLE）、端-云-移动端全栈应用开发、场景联动与规则引擎设计等综合性实验项目。</w:t>
      </w:r>
    </w:p>
    <w:p w14:paraId="177C434A">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(3) 具备智能视频监控与图像分析功能，支持人脸识别、目标检测、行为分析等计算机视觉技术的教学与应用开发。</w:t>
      </w:r>
    </w:p>
    <w:p w14:paraId="152E31FF">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(4) 支持不少于3组学生同时开展分组项目实训，提供从零开始搭建完整物联网应用系统的软硬件环境。</w:t>
      </w:r>
    </w:p>
    <w:p w14:paraId="2840BB63">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(5) 实验室需具备良好的扩展性，预留标准接口，支持后续引入工业互联网、边缘计算等前沿技术模块。</w:t>
      </w:r>
    </w:p>
    <w:p w14:paraId="56617DD6">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(6) 年度实训覆盖学生规模达到20000人次以上，可支撑6门以上专业核心课程的实验教学，开出实验项目不少于96项。</w:t>
      </w:r>
    </w:p>
    <w:p w14:paraId="75254F69">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（7）实施实验室环境建设，围绕安全规范与文化建设两大核心，内容包括安装在实验室门口的信息铭牌，墙壁上张贴规章制度、操作规程、文化展示专栏。</w:t>
      </w:r>
    </w:p>
    <w:p w14:paraId="336452BA">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（8）安全措施，配备不少于两台水基灭火器。</w:t>
      </w:r>
    </w:p>
    <w:p w14:paraId="2AC66C7C">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（三）工科综合实验室</w:t>
      </w:r>
    </w:p>
    <w:p w14:paraId="193C8C65">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该项目为搬迁工作。工科综合实验室为已有实验室，位于教学楼1108。需将1108室内全部设施、器材整体搬迁至融云楼306教室，设施、器材在搬迁到新教室内后需恢复至原教学状态，保障立即投入教学使用。</w:t>
      </w:r>
    </w:p>
    <w:p w14:paraId="42E2ACC6">
      <w:pPr>
        <w:spacing w:line="560" w:lineRule="exact"/>
        <w:ind w:firstLine="560" w:firstLineChars="2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该实验室需要实施实验室环境建设，围绕安全规范与文化建设两大核心，内容包括安装在实验室门口的信息铭牌，墙壁上张贴规章制度、操作规程、文化展示专栏。同时配备不少于两台水基灭火器。</w:t>
      </w:r>
    </w:p>
    <w:p w14:paraId="0D0AF69C">
      <w:pPr>
        <w:rPr>
          <w:rFonts w:ascii="Times New Roman" w:hAnsi="Times New Roman" w:eastAsia="方正小标宋_GBK" w:cs="Times New Roman"/>
          <w:color w:val="auto"/>
        </w:rPr>
      </w:pPr>
      <w:r>
        <w:rPr>
          <w:rFonts w:ascii="Times New Roman" w:hAnsi="Times New Roman" w:eastAsia="方正小标宋_GBK" w:cs="Times New Roman"/>
          <w:color w:val="auto"/>
        </w:rPr>
        <w:br w:type="page"/>
      </w:r>
    </w:p>
    <w:p w14:paraId="78A36781">
      <w:pPr>
        <w:pStyle w:val="2"/>
        <w:numPr>
          <w:ilvl w:val="0"/>
          <w:numId w:val="0"/>
        </w:numPr>
        <w:spacing w:before="0" w:after="0" w:line="520" w:lineRule="exact"/>
        <w:ind w:firstLine="2201" w:firstLineChars="500"/>
        <w:rPr>
          <w:rFonts w:ascii="Times New Roman" w:hAnsi="Times New Roman" w:eastAsia="方正小标宋_GBK" w:cs="Times New Roman"/>
          <w:color w:val="auto"/>
        </w:rPr>
      </w:pPr>
      <w:r>
        <w:rPr>
          <w:rFonts w:ascii="Times New Roman" w:hAnsi="Times New Roman" w:eastAsia="方正小标宋_GBK" w:cs="Times New Roman"/>
          <w:color w:val="auto"/>
        </w:rPr>
        <w:t>第四章 评标原则</w:t>
      </w:r>
      <w:bookmarkEnd w:id="357"/>
    </w:p>
    <w:p w14:paraId="2FC6BFD8">
      <w:pPr>
        <w:spacing w:line="520" w:lineRule="exact"/>
        <w:ind w:firstLine="640" w:firstLineChars="200"/>
        <w:rPr>
          <w:rFonts w:ascii="Times New Roman" w:hAnsi="Times New Roman" w:eastAsia="方正仿宋_GBK" w:cs="Times New Roman"/>
          <w:bCs/>
          <w:color w:val="auto"/>
          <w:kern w:val="0"/>
          <w:sz w:val="32"/>
          <w:szCs w:val="32"/>
          <w:lang w:bidi="en-US"/>
        </w:rPr>
      </w:pPr>
      <w:bookmarkStart w:id="358" w:name="_Toc484637076"/>
      <w:bookmarkStart w:id="359" w:name="_Toc481694471"/>
      <w:bookmarkStart w:id="360" w:name="_Toc454373093"/>
      <w:r>
        <w:rPr>
          <w:rFonts w:hint="eastAsia" w:ascii="Times New Roman" w:hAnsi="Times New Roman" w:eastAsia="方正仿宋_GBK" w:cs="Times New Roman"/>
          <w:bCs/>
          <w:color w:val="auto"/>
          <w:kern w:val="0"/>
          <w:sz w:val="32"/>
          <w:szCs w:val="32"/>
          <w:lang w:bidi="en-US"/>
        </w:rPr>
        <w:t>本项目采用综合评分法，总分为100分，其中：价格分30分、技术分45分、商务分20分、服务分5分。</w:t>
      </w:r>
    </w:p>
    <w:tbl>
      <w:tblPr>
        <w:tblStyle w:val="42"/>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327"/>
        <w:gridCol w:w="6053"/>
        <w:gridCol w:w="1125"/>
      </w:tblGrid>
      <w:tr w14:paraId="6D53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76BA7E3C">
            <w:pPr>
              <w:pStyle w:val="38"/>
              <w:snapToGrid w:val="0"/>
              <w:spacing w:before="120" w:beforeAutospacing="0" w:after="120" w:afterAutospacing="0" w:line="240" w:lineRule="exact"/>
              <w:ind w:left="480" w:hanging="480"/>
              <w:jc w:val="center"/>
              <w:rPr>
                <w:rFonts w:hint="eastAsia"/>
                <w:color w:val="auto"/>
              </w:rPr>
            </w:pPr>
            <w:bookmarkStart w:id="361" w:name="_Hlk218517272"/>
            <w:r>
              <w:rPr>
                <w:rFonts w:hint="eastAsia"/>
                <w:color w:val="auto"/>
              </w:rPr>
              <w:t>项目</w:t>
            </w:r>
          </w:p>
        </w:tc>
        <w:tc>
          <w:tcPr>
            <w:tcW w:w="664" w:type="pct"/>
            <w:tcBorders>
              <w:top w:val="single" w:color="auto" w:sz="4" w:space="0"/>
              <w:left w:val="single" w:color="auto" w:sz="4" w:space="0"/>
              <w:bottom w:val="single" w:color="auto" w:sz="4" w:space="0"/>
              <w:right w:val="single" w:color="auto" w:sz="4" w:space="0"/>
            </w:tcBorders>
            <w:vAlign w:val="center"/>
          </w:tcPr>
          <w:p w14:paraId="6B89A98C">
            <w:pPr>
              <w:pStyle w:val="38"/>
              <w:snapToGrid w:val="0"/>
              <w:spacing w:before="120" w:beforeAutospacing="0" w:after="120" w:afterAutospacing="0" w:line="240" w:lineRule="exact"/>
              <w:ind w:left="480" w:hanging="480"/>
              <w:jc w:val="center"/>
              <w:rPr>
                <w:rFonts w:hint="eastAsia"/>
                <w:color w:val="auto"/>
              </w:rPr>
            </w:pPr>
            <w:r>
              <w:rPr>
                <w:rFonts w:hint="eastAsia"/>
                <w:color w:val="auto"/>
              </w:rPr>
              <w:t>分项名称</w:t>
            </w:r>
          </w:p>
        </w:tc>
        <w:tc>
          <w:tcPr>
            <w:tcW w:w="3029" w:type="pct"/>
            <w:tcBorders>
              <w:top w:val="single" w:color="auto" w:sz="4" w:space="0"/>
              <w:left w:val="single" w:color="auto" w:sz="4" w:space="0"/>
              <w:bottom w:val="single" w:color="auto" w:sz="4" w:space="0"/>
              <w:right w:val="single" w:color="auto" w:sz="4" w:space="0"/>
            </w:tcBorders>
            <w:vAlign w:val="center"/>
          </w:tcPr>
          <w:p w14:paraId="1B3A537A">
            <w:pPr>
              <w:pStyle w:val="38"/>
              <w:snapToGrid w:val="0"/>
              <w:spacing w:before="120" w:beforeAutospacing="0" w:after="120" w:afterAutospacing="0" w:line="240" w:lineRule="exact"/>
              <w:ind w:left="480" w:hanging="480"/>
              <w:jc w:val="center"/>
              <w:rPr>
                <w:rFonts w:hint="eastAsia"/>
                <w:color w:val="auto"/>
              </w:rPr>
            </w:pPr>
            <w:r>
              <w:rPr>
                <w:rFonts w:hint="eastAsia"/>
                <w:color w:val="auto"/>
              </w:rPr>
              <w:t>评分标准</w:t>
            </w:r>
          </w:p>
        </w:tc>
        <w:tc>
          <w:tcPr>
            <w:tcW w:w="563" w:type="pct"/>
            <w:tcBorders>
              <w:top w:val="single" w:color="auto" w:sz="4" w:space="0"/>
              <w:left w:val="single" w:color="auto" w:sz="4" w:space="0"/>
              <w:bottom w:val="single" w:color="auto" w:sz="4" w:space="0"/>
              <w:right w:val="single" w:color="auto" w:sz="4" w:space="0"/>
            </w:tcBorders>
            <w:vAlign w:val="center"/>
          </w:tcPr>
          <w:p w14:paraId="27A12D4A">
            <w:pPr>
              <w:pStyle w:val="38"/>
              <w:snapToGrid w:val="0"/>
              <w:spacing w:before="120" w:beforeAutospacing="0" w:after="120" w:afterAutospacing="0" w:line="240" w:lineRule="exact"/>
              <w:ind w:left="480" w:hanging="480"/>
              <w:jc w:val="center"/>
              <w:rPr>
                <w:rFonts w:hint="eastAsia"/>
                <w:color w:val="auto"/>
              </w:rPr>
            </w:pPr>
            <w:r>
              <w:rPr>
                <w:rFonts w:hint="eastAsia"/>
                <w:color w:val="auto"/>
              </w:rPr>
              <w:t>满分</w:t>
            </w:r>
          </w:p>
        </w:tc>
      </w:tr>
      <w:tr w14:paraId="7918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2ABF63BD">
            <w:pPr>
              <w:pStyle w:val="38"/>
              <w:snapToGrid w:val="0"/>
              <w:spacing w:before="120" w:beforeAutospacing="0" w:after="120" w:afterAutospacing="0" w:line="240" w:lineRule="exact"/>
              <w:ind w:left="480" w:hanging="480"/>
              <w:jc w:val="center"/>
              <w:rPr>
                <w:rFonts w:hint="eastAsia"/>
                <w:color w:val="auto"/>
              </w:rPr>
            </w:pPr>
            <w:r>
              <w:rPr>
                <w:rFonts w:hint="eastAsia"/>
                <w:color w:val="auto"/>
              </w:rPr>
              <w:t>经济部分</w:t>
            </w:r>
          </w:p>
          <w:p w14:paraId="0B62260D">
            <w:pPr>
              <w:pStyle w:val="38"/>
              <w:snapToGrid w:val="0"/>
              <w:spacing w:before="120" w:beforeAutospacing="0" w:after="120" w:afterAutospacing="0" w:line="240" w:lineRule="exact"/>
              <w:ind w:left="480" w:hanging="480"/>
              <w:jc w:val="center"/>
              <w:rPr>
                <w:rFonts w:hint="eastAsia"/>
                <w:color w:val="auto"/>
              </w:rPr>
            </w:pPr>
            <w:r>
              <w:rPr>
                <w:rFonts w:hint="eastAsia"/>
                <w:color w:val="auto"/>
              </w:rPr>
              <w:t>（30分）</w:t>
            </w:r>
          </w:p>
        </w:tc>
        <w:tc>
          <w:tcPr>
            <w:tcW w:w="664" w:type="pct"/>
            <w:tcBorders>
              <w:top w:val="single" w:color="auto" w:sz="4" w:space="0"/>
              <w:left w:val="single" w:color="auto" w:sz="4" w:space="0"/>
              <w:bottom w:val="single" w:color="auto" w:sz="4" w:space="0"/>
              <w:right w:val="single" w:color="auto" w:sz="4" w:space="0"/>
            </w:tcBorders>
            <w:vAlign w:val="center"/>
          </w:tcPr>
          <w:p w14:paraId="4F5A72C6">
            <w:pPr>
              <w:pStyle w:val="38"/>
              <w:snapToGrid w:val="0"/>
              <w:spacing w:before="120" w:beforeAutospacing="0" w:after="120" w:afterAutospacing="0" w:line="240" w:lineRule="exact"/>
              <w:ind w:left="480" w:hanging="480"/>
              <w:jc w:val="center"/>
              <w:rPr>
                <w:rFonts w:hint="eastAsia"/>
                <w:color w:val="auto"/>
              </w:rPr>
            </w:pPr>
            <w:r>
              <w:rPr>
                <w:rFonts w:hint="eastAsia"/>
                <w:color w:val="auto"/>
              </w:rPr>
              <w:t>价格</w:t>
            </w:r>
          </w:p>
        </w:tc>
        <w:tc>
          <w:tcPr>
            <w:tcW w:w="3029" w:type="pct"/>
            <w:tcBorders>
              <w:top w:val="single" w:color="auto" w:sz="4" w:space="0"/>
              <w:left w:val="single" w:color="auto" w:sz="4" w:space="0"/>
              <w:bottom w:val="single" w:color="auto" w:sz="4" w:space="0"/>
              <w:right w:val="single" w:color="auto" w:sz="4" w:space="0"/>
            </w:tcBorders>
            <w:vAlign w:val="center"/>
          </w:tcPr>
          <w:p w14:paraId="5BF1FCA8">
            <w:pPr>
              <w:widowControl/>
              <w:snapToGrid w:val="0"/>
              <w:spacing w:line="320" w:lineRule="exact"/>
              <w:textAlignment w:val="center"/>
              <w:rPr>
                <w:rFonts w:hint="eastAsia" w:ascii="宋体" w:hAnsi="宋体" w:cs="宋体"/>
                <w:color w:val="auto"/>
                <w:kern w:val="0"/>
                <w:lang w:bidi="ar"/>
              </w:rPr>
            </w:pPr>
            <w:r>
              <w:rPr>
                <w:rFonts w:hint="eastAsia"/>
                <w:color w:val="auto"/>
                <w:lang w:eastAsia="zh-Hans"/>
              </w:rPr>
              <w:t>满足招标文件要求且投标价格最低的投标报价为评标基准价，其价格分为满分。其他投标人的价格分统一按公式计算：投标报价得分＝（评标基准价 / 投标报价）×30。</w:t>
            </w:r>
          </w:p>
        </w:tc>
        <w:tc>
          <w:tcPr>
            <w:tcW w:w="563" w:type="pct"/>
            <w:tcBorders>
              <w:top w:val="single" w:color="auto" w:sz="4" w:space="0"/>
              <w:left w:val="single" w:color="auto" w:sz="4" w:space="0"/>
              <w:bottom w:val="single" w:color="auto" w:sz="4" w:space="0"/>
              <w:right w:val="single" w:color="auto" w:sz="4" w:space="0"/>
            </w:tcBorders>
            <w:vAlign w:val="center"/>
          </w:tcPr>
          <w:p w14:paraId="6D7693FE">
            <w:pPr>
              <w:pStyle w:val="38"/>
              <w:snapToGrid w:val="0"/>
              <w:spacing w:before="120" w:beforeAutospacing="0" w:after="120" w:afterAutospacing="0" w:line="240" w:lineRule="exact"/>
              <w:ind w:left="480" w:hanging="480"/>
              <w:jc w:val="center"/>
              <w:rPr>
                <w:rFonts w:hint="eastAsia"/>
                <w:color w:val="auto"/>
              </w:rPr>
            </w:pPr>
            <w:r>
              <w:rPr>
                <w:rFonts w:hint="eastAsia"/>
                <w:color w:val="auto"/>
              </w:rPr>
              <w:t>30</w:t>
            </w:r>
          </w:p>
        </w:tc>
      </w:tr>
      <w:tr w14:paraId="5EE5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left w:val="single" w:color="auto" w:sz="4" w:space="0"/>
              <w:right w:val="single" w:color="auto" w:sz="4" w:space="0"/>
            </w:tcBorders>
            <w:vAlign w:val="center"/>
          </w:tcPr>
          <w:p w14:paraId="37DDB566">
            <w:pPr>
              <w:pStyle w:val="38"/>
              <w:snapToGrid w:val="0"/>
              <w:spacing w:before="120" w:beforeAutospacing="0" w:after="120" w:afterAutospacing="0" w:line="240" w:lineRule="exact"/>
              <w:ind w:left="480" w:hanging="480"/>
              <w:jc w:val="center"/>
              <w:rPr>
                <w:rFonts w:hint="eastAsia"/>
                <w:color w:val="auto"/>
              </w:rPr>
            </w:pPr>
            <w:r>
              <w:rPr>
                <w:rFonts w:hint="eastAsia"/>
                <w:color w:val="auto"/>
              </w:rPr>
              <w:t>技术部分</w:t>
            </w:r>
          </w:p>
          <w:p w14:paraId="4F84E4F1">
            <w:pPr>
              <w:pStyle w:val="38"/>
              <w:snapToGrid w:val="0"/>
              <w:spacing w:before="120" w:beforeAutospacing="0" w:after="120" w:afterAutospacing="0" w:line="240" w:lineRule="exact"/>
              <w:ind w:left="480" w:hanging="480"/>
              <w:jc w:val="center"/>
              <w:rPr>
                <w:rFonts w:hint="eastAsia"/>
                <w:color w:val="auto"/>
              </w:rPr>
            </w:pPr>
            <w:r>
              <w:rPr>
                <w:rFonts w:hint="eastAsia"/>
                <w:color w:val="auto"/>
              </w:rPr>
              <w:t>（</w:t>
            </w:r>
            <w:r>
              <w:rPr>
                <w:rFonts w:hint="eastAsia"/>
                <w:color w:val="auto"/>
                <w:lang w:val="en-US" w:eastAsia="zh-CN"/>
              </w:rPr>
              <w:t>45</w:t>
            </w:r>
            <w:r>
              <w:rPr>
                <w:rFonts w:hint="eastAsia"/>
                <w:color w:val="auto"/>
              </w:rPr>
              <w:t>分）</w:t>
            </w:r>
          </w:p>
        </w:tc>
        <w:tc>
          <w:tcPr>
            <w:tcW w:w="664" w:type="pct"/>
            <w:tcBorders>
              <w:top w:val="single" w:color="auto" w:sz="4" w:space="0"/>
              <w:left w:val="single" w:color="auto" w:sz="4" w:space="0"/>
              <w:right w:val="single" w:color="auto" w:sz="4" w:space="0"/>
            </w:tcBorders>
            <w:vAlign w:val="center"/>
          </w:tcPr>
          <w:p w14:paraId="384FD80E">
            <w:pPr>
              <w:pStyle w:val="38"/>
              <w:snapToGrid w:val="0"/>
              <w:spacing w:before="120" w:beforeAutospacing="0" w:after="120" w:afterAutospacing="0" w:line="300" w:lineRule="exact"/>
              <w:jc w:val="both"/>
              <w:rPr>
                <w:rFonts w:hint="eastAsia"/>
                <w:color w:val="auto"/>
              </w:rPr>
            </w:pPr>
            <w:r>
              <w:rPr>
                <w:rFonts w:hint="eastAsia"/>
                <w:color w:val="auto"/>
              </w:rPr>
              <w:t>实验室建设方案完整性、针对性、合理性</w:t>
            </w:r>
          </w:p>
        </w:tc>
        <w:tc>
          <w:tcPr>
            <w:tcW w:w="3029" w:type="pct"/>
            <w:tcBorders>
              <w:top w:val="single" w:color="auto" w:sz="4" w:space="0"/>
              <w:left w:val="single" w:color="auto" w:sz="4" w:space="0"/>
              <w:bottom w:val="single" w:color="auto" w:sz="4" w:space="0"/>
              <w:right w:val="single" w:color="auto" w:sz="4" w:space="0"/>
            </w:tcBorders>
          </w:tcPr>
          <w:p w14:paraId="6A205724">
            <w:pPr>
              <w:widowControl/>
              <w:snapToGrid w:val="0"/>
              <w:spacing w:line="320" w:lineRule="exact"/>
              <w:jc w:val="left"/>
              <w:textAlignment w:val="center"/>
              <w:rPr>
                <w:color w:val="auto"/>
                <w:lang w:eastAsia="zh-Hans"/>
              </w:rPr>
            </w:pPr>
            <w:r>
              <w:rPr>
                <w:rFonts w:hint="eastAsia"/>
                <w:color w:val="auto"/>
                <w:lang w:eastAsia="zh-Hans"/>
              </w:rPr>
              <w:t>根据投标人提供的三个实验室（智能车实验室、物联网场景应用实验室、工科综合实验室）建设方案进行综合评审：</w:t>
            </w:r>
          </w:p>
          <w:p w14:paraId="75BBF9E9">
            <w:pPr>
              <w:widowControl/>
              <w:snapToGrid w:val="0"/>
              <w:spacing w:line="320" w:lineRule="exact"/>
              <w:jc w:val="left"/>
              <w:textAlignment w:val="center"/>
              <w:rPr>
                <w:color w:val="auto"/>
                <w:lang w:eastAsia="zh-Hans"/>
              </w:rPr>
            </w:pPr>
            <w:r>
              <w:rPr>
                <w:rFonts w:hint="eastAsia"/>
                <w:color w:val="auto"/>
                <w:lang w:eastAsia="zh-Hans"/>
              </w:rPr>
              <w:t>优（15-11分） ：建设方案完整详尽，对各实验室功能定位理解准确，布局设计科学合理，模块化分区明确，强弱电布线方案规范安全，与采购需求高度契合；</w:t>
            </w:r>
          </w:p>
          <w:p w14:paraId="476F46D2">
            <w:pPr>
              <w:widowControl/>
              <w:snapToGrid w:val="0"/>
              <w:spacing w:line="320" w:lineRule="exact"/>
              <w:jc w:val="left"/>
              <w:textAlignment w:val="center"/>
              <w:rPr>
                <w:color w:val="auto"/>
                <w:lang w:eastAsia="zh-Hans"/>
              </w:rPr>
            </w:pPr>
            <w:r>
              <w:rPr>
                <w:rFonts w:hint="eastAsia"/>
                <w:color w:val="auto"/>
                <w:lang w:eastAsia="zh-Hans"/>
              </w:rPr>
              <w:t>良（10-6分） ：建设方案较为完整，对各实验室功能定位有一定理解，布局设计较为合理，基本符合采购需求；</w:t>
            </w:r>
          </w:p>
          <w:p w14:paraId="12FCC4C7">
            <w:pPr>
              <w:widowControl/>
              <w:snapToGrid w:val="0"/>
              <w:spacing w:line="320" w:lineRule="exact"/>
              <w:jc w:val="left"/>
              <w:textAlignment w:val="center"/>
              <w:rPr>
                <w:color w:val="auto"/>
                <w:lang w:eastAsia="zh-Hans"/>
              </w:rPr>
            </w:pPr>
            <w:r>
              <w:rPr>
                <w:rFonts w:hint="eastAsia"/>
                <w:color w:val="auto"/>
                <w:lang w:eastAsia="zh-Hans"/>
              </w:rPr>
              <w:t>一般（5-1分） ：建设方案不够完整，对实验室功能定位理解不足，布局设计存在缺陷；</w:t>
            </w:r>
          </w:p>
          <w:p w14:paraId="0615BBA5">
            <w:pPr>
              <w:widowControl/>
              <w:snapToGrid w:val="0"/>
              <w:spacing w:line="320" w:lineRule="exact"/>
              <w:jc w:val="left"/>
              <w:textAlignment w:val="center"/>
              <w:rPr>
                <w:color w:val="auto"/>
                <w:lang w:eastAsia="zh-Hans"/>
              </w:rPr>
            </w:pPr>
            <w:r>
              <w:rPr>
                <w:rFonts w:hint="eastAsia"/>
                <w:color w:val="auto"/>
                <w:lang w:eastAsia="zh-Hans"/>
              </w:rPr>
              <w:t>未提供（0分） ：不提供方案。</w:t>
            </w:r>
          </w:p>
        </w:tc>
        <w:tc>
          <w:tcPr>
            <w:tcW w:w="563" w:type="pct"/>
            <w:tcBorders>
              <w:top w:val="single" w:color="auto" w:sz="4" w:space="0"/>
              <w:left w:val="single" w:color="auto" w:sz="4" w:space="0"/>
              <w:bottom w:val="single" w:color="auto" w:sz="4" w:space="0"/>
              <w:right w:val="single" w:color="auto" w:sz="4" w:space="0"/>
            </w:tcBorders>
            <w:vAlign w:val="center"/>
          </w:tcPr>
          <w:p w14:paraId="0ACC6902">
            <w:pPr>
              <w:pStyle w:val="38"/>
              <w:snapToGrid w:val="0"/>
              <w:spacing w:before="120" w:beforeAutospacing="0" w:after="120" w:afterAutospacing="0" w:line="240" w:lineRule="exact"/>
              <w:ind w:left="480" w:hanging="480"/>
              <w:jc w:val="center"/>
              <w:rPr>
                <w:rFonts w:hint="eastAsia"/>
                <w:color w:val="auto"/>
              </w:rPr>
            </w:pPr>
            <w:r>
              <w:rPr>
                <w:rFonts w:hint="eastAsia"/>
                <w:color w:val="auto"/>
              </w:rPr>
              <w:t>15</w:t>
            </w:r>
          </w:p>
        </w:tc>
      </w:tr>
      <w:tr w14:paraId="39B7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744" w:type="pct"/>
            <w:vMerge w:val="continue"/>
            <w:tcBorders>
              <w:left w:val="single" w:color="auto" w:sz="4" w:space="0"/>
              <w:right w:val="single" w:color="auto" w:sz="4" w:space="0"/>
            </w:tcBorders>
            <w:vAlign w:val="center"/>
          </w:tcPr>
          <w:p w14:paraId="198E9985">
            <w:pPr>
              <w:pStyle w:val="38"/>
              <w:snapToGrid w:val="0"/>
              <w:spacing w:before="120" w:beforeAutospacing="0" w:after="120" w:afterAutospacing="0" w:line="240" w:lineRule="exact"/>
              <w:ind w:left="480" w:hanging="480"/>
              <w:rPr>
                <w:rFonts w:hint="eastAsia"/>
                <w:color w:val="auto"/>
              </w:rPr>
            </w:pPr>
          </w:p>
        </w:tc>
        <w:tc>
          <w:tcPr>
            <w:tcW w:w="664" w:type="pct"/>
            <w:tcBorders>
              <w:top w:val="single" w:color="auto" w:sz="4" w:space="0"/>
              <w:left w:val="single" w:color="auto" w:sz="4" w:space="0"/>
              <w:right w:val="single" w:color="auto" w:sz="4" w:space="0"/>
            </w:tcBorders>
            <w:vAlign w:val="center"/>
          </w:tcPr>
          <w:p w14:paraId="0EA443C2">
            <w:pPr>
              <w:pStyle w:val="38"/>
              <w:snapToGrid w:val="0"/>
              <w:spacing w:before="120" w:beforeAutospacing="0" w:after="120" w:afterAutospacing="0" w:line="300" w:lineRule="exact"/>
              <w:jc w:val="both"/>
              <w:rPr>
                <w:rFonts w:hint="eastAsia"/>
                <w:color w:val="auto"/>
              </w:rPr>
            </w:pPr>
            <w:r>
              <w:rPr>
                <w:rFonts w:hint="eastAsia"/>
                <w:color w:val="auto"/>
              </w:rPr>
              <w:t>设备技术参数响应程度、品牌档次、性能匹配度</w:t>
            </w:r>
          </w:p>
        </w:tc>
        <w:tc>
          <w:tcPr>
            <w:tcW w:w="3029" w:type="pct"/>
            <w:tcBorders>
              <w:top w:val="single" w:color="auto" w:sz="4" w:space="0"/>
              <w:left w:val="single" w:color="auto" w:sz="4" w:space="0"/>
              <w:right w:val="single" w:color="auto" w:sz="4" w:space="0"/>
            </w:tcBorders>
          </w:tcPr>
          <w:p w14:paraId="4EC8250B">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基础分（10分） ：投标人所投设备技术参数完全满足招标文件所列技术参数要求的，得10分；</w:t>
            </w:r>
          </w:p>
          <w:p w14:paraId="6F420058">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加分项（最高5分） ：所投设备品牌为知名品牌、技术参数优于招标要求、性能匹配度高的，每项加1-2分，最高加5分；</w:t>
            </w:r>
          </w:p>
          <w:p w14:paraId="521418A5">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扣分项 ：技术参数每存在一项负偏离，扣2分，扣完为止。</w:t>
            </w:r>
          </w:p>
        </w:tc>
        <w:tc>
          <w:tcPr>
            <w:tcW w:w="563" w:type="pct"/>
            <w:tcBorders>
              <w:top w:val="single" w:color="auto" w:sz="4" w:space="0"/>
              <w:left w:val="single" w:color="auto" w:sz="4" w:space="0"/>
              <w:bottom w:val="single" w:color="auto" w:sz="4" w:space="0"/>
              <w:right w:val="single" w:color="auto" w:sz="4" w:space="0"/>
            </w:tcBorders>
            <w:vAlign w:val="center"/>
          </w:tcPr>
          <w:p w14:paraId="68024256">
            <w:pPr>
              <w:pStyle w:val="38"/>
              <w:snapToGrid w:val="0"/>
              <w:spacing w:before="120" w:beforeAutospacing="0" w:after="120" w:afterAutospacing="0" w:line="240" w:lineRule="exact"/>
              <w:ind w:left="480" w:hanging="480"/>
              <w:jc w:val="center"/>
              <w:rPr>
                <w:rFonts w:hint="eastAsia"/>
                <w:color w:val="auto"/>
                <w:kern w:val="2"/>
              </w:rPr>
            </w:pPr>
            <w:r>
              <w:rPr>
                <w:rFonts w:hint="eastAsia"/>
                <w:color w:val="auto"/>
                <w:kern w:val="2"/>
              </w:rPr>
              <w:t>15</w:t>
            </w:r>
          </w:p>
        </w:tc>
      </w:tr>
      <w:tr w14:paraId="6249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5D2496AE">
            <w:pPr>
              <w:pStyle w:val="38"/>
              <w:snapToGrid w:val="0"/>
              <w:spacing w:before="120" w:beforeAutospacing="0" w:after="120" w:afterAutospacing="0" w:line="240" w:lineRule="exact"/>
              <w:ind w:left="480" w:hanging="480"/>
              <w:rPr>
                <w:rFonts w:hint="eastAsia"/>
                <w:color w:val="auto"/>
              </w:rPr>
            </w:pPr>
          </w:p>
        </w:tc>
        <w:tc>
          <w:tcPr>
            <w:tcW w:w="664" w:type="pct"/>
            <w:tcBorders>
              <w:top w:val="single" w:color="auto" w:sz="4" w:space="0"/>
              <w:left w:val="single" w:color="auto" w:sz="4" w:space="0"/>
              <w:right w:val="single" w:color="auto" w:sz="4" w:space="0"/>
            </w:tcBorders>
            <w:vAlign w:val="center"/>
          </w:tcPr>
          <w:p w14:paraId="5FB57CF5">
            <w:pPr>
              <w:pStyle w:val="38"/>
              <w:snapToGrid w:val="0"/>
              <w:spacing w:before="120" w:beforeAutospacing="0" w:after="120" w:afterAutospacing="0" w:line="300" w:lineRule="exact"/>
              <w:jc w:val="both"/>
              <w:rPr>
                <w:rFonts w:hint="eastAsia"/>
                <w:color w:val="auto"/>
                <w:lang w:eastAsia="zh-Hans"/>
              </w:rPr>
            </w:pPr>
            <w:r>
              <w:rPr>
                <w:rFonts w:hint="eastAsia"/>
                <w:color w:val="auto"/>
              </w:rPr>
              <w:t>软硬件系统集成方案科学性、可行性及扩展性</w:t>
            </w:r>
          </w:p>
        </w:tc>
        <w:tc>
          <w:tcPr>
            <w:tcW w:w="3029" w:type="pct"/>
            <w:tcBorders>
              <w:top w:val="single" w:color="auto" w:sz="4" w:space="0"/>
              <w:left w:val="single" w:color="auto" w:sz="4" w:space="0"/>
              <w:right w:val="single" w:color="auto" w:sz="4" w:space="0"/>
            </w:tcBorders>
          </w:tcPr>
          <w:p w14:paraId="5087A47C">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根据投标人提供的软硬件系统集成方案进行评审：</w:t>
            </w:r>
          </w:p>
          <w:p w14:paraId="7EBE0EF2">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优（10-7分） ：集成方案科学完整，各系统间兼容性强，预留标准接口，扩展性良好，能够支持AI边缘计算、大数据分析等较高负载任务；</w:t>
            </w:r>
          </w:p>
          <w:p w14:paraId="5C505B50">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良（6-4分） ：集成方案较为完整，系统间兼容性较好，具备一定扩展性；</w:t>
            </w:r>
          </w:p>
          <w:p w14:paraId="11CC0094">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一般（3-1分） ：集成方案不够完善，扩展性不足；</w:t>
            </w:r>
          </w:p>
          <w:p w14:paraId="5A3EF28C">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未提供（0分）。</w:t>
            </w:r>
          </w:p>
        </w:tc>
        <w:tc>
          <w:tcPr>
            <w:tcW w:w="563" w:type="pct"/>
            <w:tcBorders>
              <w:top w:val="single" w:color="auto" w:sz="4" w:space="0"/>
              <w:left w:val="single" w:color="auto" w:sz="4" w:space="0"/>
              <w:bottom w:val="single" w:color="auto" w:sz="4" w:space="0"/>
              <w:right w:val="single" w:color="auto" w:sz="4" w:space="0"/>
            </w:tcBorders>
            <w:vAlign w:val="center"/>
          </w:tcPr>
          <w:p w14:paraId="3BEBDB52">
            <w:pPr>
              <w:pStyle w:val="38"/>
              <w:snapToGrid w:val="0"/>
              <w:spacing w:before="120" w:beforeAutospacing="0" w:after="120" w:afterAutospacing="0" w:line="240" w:lineRule="exact"/>
              <w:ind w:left="480" w:hanging="480"/>
              <w:jc w:val="center"/>
              <w:rPr>
                <w:rFonts w:hint="eastAsia"/>
                <w:color w:val="auto"/>
                <w:kern w:val="2"/>
              </w:rPr>
            </w:pPr>
            <w:r>
              <w:rPr>
                <w:rFonts w:hint="eastAsia"/>
                <w:color w:val="auto"/>
                <w:kern w:val="2"/>
              </w:rPr>
              <w:t>10</w:t>
            </w:r>
          </w:p>
        </w:tc>
      </w:tr>
      <w:tr w14:paraId="5A0E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415670A6">
            <w:pPr>
              <w:pStyle w:val="38"/>
              <w:snapToGrid w:val="0"/>
              <w:spacing w:before="120" w:beforeAutospacing="0" w:after="120" w:afterAutospacing="0" w:line="240" w:lineRule="exact"/>
              <w:ind w:left="480" w:hanging="480"/>
              <w:rPr>
                <w:rFonts w:hint="eastAsia"/>
                <w:color w:val="auto"/>
              </w:rPr>
            </w:pPr>
          </w:p>
        </w:tc>
        <w:tc>
          <w:tcPr>
            <w:tcW w:w="664" w:type="pct"/>
            <w:tcBorders>
              <w:top w:val="single" w:color="auto" w:sz="4" w:space="0"/>
              <w:left w:val="single" w:color="auto" w:sz="4" w:space="0"/>
              <w:right w:val="single" w:color="auto" w:sz="4" w:space="0"/>
            </w:tcBorders>
            <w:vAlign w:val="center"/>
          </w:tcPr>
          <w:p w14:paraId="2C2C7A8E">
            <w:pPr>
              <w:pStyle w:val="38"/>
              <w:snapToGrid w:val="0"/>
              <w:spacing w:before="120" w:beforeAutospacing="0" w:after="120" w:afterAutospacing="0" w:line="300" w:lineRule="exact"/>
              <w:jc w:val="both"/>
              <w:rPr>
                <w:rFonts w:hint="eastAsia"/>
                <w:color w:val="auto"/>
                <w:lang w:eastAsia="zh-Hans"/>
              </w:rPr>
            </w:pPr>
            <w:r>
              <w:rPr>
                <w:rFonts w:hint="eastAsia"/>
                <w:color w:val="auto"/>
              </w:rPr>
              <w:t>施工组织、工期保障、安全文明施工措施</w:t>
            </w:r>
          </w:p>
        </w:tc>
        <w:tc>
          <w:tcPr>
            <w:tcW w:w="3029" w:type="pct"/>
            <w:tcBorders>
              <w:top w:val="single" w:color="auto" w:sz="4" w:space="0"/>
              <w:left w:val="single" w:color="auto" w:sz="4" w:space="0"/>
              <w:right w:val="single" w:color="auto" w:sz="4" w:space="0"/>
            </w:tcBorders>
          </w:tcPr>
          <w:p w14:paraId="416662CB">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工期保障（2分） ：承诺在30个工作日内完成全部交付工作的得2分，否则不得分；</w:t>
            </w:r>
          </w:p>
          <w:p w14:paraId="0FE8CAFC">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施工组织方案（2分） ：施工组织方案科学、工期安排合理、人员配置充足的得2分，否则酌情扣分；</w:t>
            </w:r>
          </w:p>
          <w:p w14:paraId="70BFD2BA">
            <w:pPr>
              <w:widowControl/>
              <w:snapToGrid w:val="0"/>
              <w:spacing w:line="320" w:lineRule="exact"/>
              <w:jc w:val="left"/>
              <w:textAlignment w:val="center"/>
              <w:rPr>
                <w:rFonts w:hint="eastAsia" w:ascii="宋体" w:hAnsi="宋体" w:cs="宋体"/>
                <w:color w:val="auto"/>
              </w:rPr>
            </w:pPr>
            <w:r>
              <w:rPr>
                <w:rFonts w:hint="eastAsia" w:ascii="宋体" w:hAnsi="宋体" w:cs="宋体"/>
                <w:color w:val="auto"/>
              </w:rPr>
              <w:t>安全文明施工措施（1分） ：安全文明施工措施完善、符合实验室安全规范的得1分，否则不得分。</w:t>
            </w:r>
          </w:p>
        </w:tc>
        <w:tc>
          <w:tcPr>
            <w:tcW w:w="563" w:type="pct"/>
            <w:tcBorders>
              <w:top w:val="single" w:color="auto" w:sz="4" w:space="0"/>
              <w:left w:val="single" w:color="auto" w:sz="4" w:space="0"/>
              <w:bottom w:val="single" w:color="auto" w:sz="4" w:space="0"/>
              <w:right w:val="single" w:color="auto" w:sz="4" w:space="0"/>
            </w:tcBorders>
            <w:vAlign w:val="center"/>
          </w:tcPr>
          <w:p w14:paraId="0A0417B8">
            <w:pPr>
              <w:pStyle w:val="38"/>
              <w:snapToGrid w:val="0"/>
              <w:spacing w:before="120" w:beforeAutospacing="0" w:after="120" w:afterAutospacing="0" w:line="240" w:lineRule="exact"/>
              <w:ind w:left="480" w:hanging="480"/>
              <w:jc w:val="center"/>
              <w:rPr>
                <w:rFonts w:hint="eastAsia"/>
                <w:color w:val="auto"/>
                <w:kern w:val="2"/>
              </w:rPr>
            </w:pPr>
            <w:r>
              <w:rPr>
                <w:rFonts w:hint="eastAsia"/>
                <w:color w:val="auto"/>
                <w:kern w:val="2"/>
              </w:rPr>
              <w:t>5</w:t>
            </w:r>
          </w:p>
        </w:tc>
      </w:tr>
      <w:tr w14:paraId="5DDF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left w:val="single" w:color="auto" w:sz="4" w:space="0"/>
              <w:right w:val="single" w:color="auto" w:sz="4" w:space="0"/>
            </w:tcBorders>
            <w:vAlign w:val="center"/>
          </w:tcPr>
          <w:p w14:paraId="7E66976C">
            <w:pPr>
              <w:pStyle w:val="38"/>
              <w:snapToGrid w:val="0"/>
              <w:spacing w:before="0" w:beforeAutospacing="0" w:after="0" w:afterAutospacing="0" w:line="280" w:lineRule="exact"/>
              <w:jc w:val="center"/>
              <w:rPr>
                <w:rFonts w:hint="eastAsia"/>
                <w:color w:val="auto"/>
              </w:rPr>
            </w:pPr>
            <w:r>
              <w:rPr>
                <w:rFonts w:hint="eastAsia"/>
                <w:color w:val="auto"/>
              </w:rPr>
              <w:t>商务部分（20分）</w:t>
            </w:r>
          </w:p>
        </w:tc>
        <w:tc>
          <w:tcPr>
            <w:tcW w:w="664" w:type="pct"/>
            <w:tcBorders>
              <w:left w:val="single" w:color="auto" w:sz="4" w:space="0"/>
              <w:bottom w:val="single" w:color="auto" w:sz="4" w:space="0"/>
              <w:right w:val="single" w:color="auto" w:sz="4" w:space="0"/>
            </w:tcBorders>
            <w:vAlign w:val="center"/>
          </w:tcPr>
          <w:p w14:paraId="40CC0F62">
            <w:pPr>
              <w:pStyle w:val="38"/>
              <w:adjustRightInd w:val="0"/>
              <w:snapToGrid w:val="0"/>
              <w:spacing w:before="0" w:beforeAutospacing="0" w:after="0" w:afterAutospacing="0" w:line="300" w:lineRule="exact"/>
              <w:rPr>
                <w:rFonts w:hint="eastAsia"/>
                <w:color w:val="auto"/>
              </w:rPr>
            </w:pPr>
            <w:r>
              <w:rPr>
                <w:color w:val="auto"/>
              </w:rPr>
              <w:t>同类高校实验室建设业绩</w:t>
            </w:r>
          </w:p>
        </w:tc>
        <w:tc>
          <w:tcPr>
            <w:tcW w:w="3029" w:type="pct"/>
            <w:tcBorders>
              <w:top w:val="single" w:color="auto" w:sz="4" w:space="0"/>
              <w:left w:val="single" w:color="auto" w:sz="4" w:space="0"/>
              <w:bottom w:val="single" w:color="auto" w:sz="4" w:space="0"/>
              <w:right w:val="single" w:color="auto" w:sz="4" w:space="0"/>
            </w:tcBorders>
            <w:vAlign w:val="center"/>
          </w:tcPr>
          <w:p w14:paraId="6F76F3E5">
            <w:pPr>
              <w:pStyle w:val="38"/>
              <w:snapToGrid w:val="0"/>
              <w:spacing w:before="0" w:beforeAutospacing="0" w:after="0" w:afterAutospacing="0" w:line="320" w:lineRule="exact"/>
              <w:rPr>
                <w:rFonts w:hint="eastAsia"/>
                <w:color w:val="auto"/>
              </w:rPr>
            </w:pPr>
            <w:r>
              <w:rPr>
                <w:rFonts w:hint="eastAsia"/>
                <w:color w:val="auto"/>
              </w:rPr>
              <w:t>投标人提供高校物联网实验室、智能车实验室或人工智能实验室建设类似项目业绩：每提供一个有效业绩合同得2分，最高得10分。注：须提供合同复印件或中标通知书等证明材料，否则不得分。</w:t>
            </w:r>
          </w:p>
        </w:tc>
        <w:tc>
          <w:tcPr>
            <w:tcW w:w="563" w:type="pct"/>
            <w:tcBorders>
              <w:top w:val="single" w:color="auto" w:sz="4" w:space="0"/>
              <w:left w:val="single" w:color="auto" w:sz="4" w:space="0"/>
              <w:bottom w:val="single" w:color="auto" w:sz="4" w:space="0"/>
              <w:right w:val="single" w:color="auto" w:sz="4" w:space="0"/>
            </w:tcBorders>
            <w:vAlign w:val="center"/>
          </w:tcPr>
          <w:p w14:paraId="24940710">
            <w:pPr>
              <w:pStyle w:val="38"/>
              <w:snapToGrid w:val="0"/>
              <w:spacing w:before="120" w:beforeAutospacing="0" w:after="120" w:afterAutospacing="0" w:line="240" w:lineRule="exact"/>
              <w:ind w:left="480" w:hanging="480"/>
              <w:jc w:val="center"/>
              <w:rPr>
                <w:rFonts w:hint="eastAsia"/>
                <w:color w:val="auto"/>
              </w:rPr>
            </w:pPr>
            <w:r>
              <w:rPr>
                <w:rFonts w:hint="eastAsia"/>
                <w:color w:val="auto"/>
              </w:rPr>
              <w:t>10</w:t>
            </w:r>
          </w:p>
        </w:tc>
      </w:tr>
      <w:tr w14:paraId="3E96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6B09F5E2">
            <w:pPr>
              <w:pStyle w:val="38"/>
              <w:snapToGrid w:val="0"/>
              <w:spacing w:before="120" w:beforeAutospacing="0" w:after="120" w:afterAutospacing="0" w:line="240" w:lineRule="exact"/>
              <w:ind w:left="480" w:hanging="480"/>
              <w:jc w:val="center"/>
              <w:rPr>
                <w:rFonts w:hint="eastAsia"/>
                <w:color w:val="auto"/>
              </w:rPr>
            </w:pPr>
          </w:p>
        </w:tc>
        <w:tc>
          <w:tcPr>
            <w:tcW w:w="664" w:type="pct"/>
            <w:tcBorders>
              <w:left w:val="single" w:color="auto" w:sz="4" w:space="0"/>
              <w:bottom w:val="single" w:color="auto" w:sz="4" w:space="0"/>
              <w:right w:val="single" w:color="auto" w:sz="4" w:space="0"/>
            </w:tcBorders>
            <w:vAlign w:val="center"/>
          </w:tcPr>
          <w:p w14:paraId="782ADA48">
            <w:pPr>
              <w:pStyle w:val="38"/>
              <w:adjustRightInd w:val="0"/>
              <w:snapToGrid w:val="0"/>
              <w:spacing w:before="0" w:beforeAutospacing="0" w:after="0" w:afterAutospacing="0" w:line="300" w:lineRule="exact"/>
              <w:rPr>
                <w:rFonts w:hint="eastAsia"/>
                <w:color w:val="auto"/>
              </w:rPr>
            </w:pPr>
            <w:r>
              <w:rPr>
                <w:color w:val="auto"/>
              </w:rPr>
              <w:t>企业资质、技术实力、项目团队配置</w:t>
            </w:r>
          </w:p>
        </w:tc>
        <w:tc>
          <w:tcPr>
            <w:tcW w:w="3029" w:type="pct"/>
            <w:tcBorders>
              <w:top w:val="single" w:color="auto" w:sz="4" w:space="0"/>
              <w:left w:val="single" w:color="auto" w:sz="4" w:space="0"/>
              <w:bottom w:val="single" w:color="auto" w:sz="4" w:space="0"/>
              <w:right w:val="single" w:color="auto" w:sz="4" w:space="0"/>
            </w:tcBorders>
            <w:vAlign w:val="center"/>
          </w:tcPr>
          <w:p w14:paraId="1F04EDAD">
            <w:pPr>
              <w:pStyle w:val="38"/>
              <w:snapToGrid w:val="0"/>
              <w:spacing w:before="0" w:beforeAutospacing="0" w:after="0" w:afterAutospacing="0" w:line="320" w:lineRule="exact"/>
              <w:rPr>
                <w:rFonts w:hint="eastAsia"/>
                <w:color w:val="auto"/>
              </w:rPr>
            </w:pPr>
            <w:r>
              <w:rPr>
                <w:rFonts w:hint="eastAsia"/>
                <w:color w:val="auto"/>
              </w:rPr>
              <w:t>企业资质（2分） ：投标人具有ISO9001质量管理体系认证、ISO14001环境管理体系认证等相关资质证书的，每项得1分，最高2分；</w:t>
            </w:r>
          </w:p>
          <w:p w14:paraId="1B1EC085">
            <w:pPr>
              <w:pStyle w:val="38"/>
              <w:snapToGrid w:val="0"/>
              <w:spacing w:before="0" w:beforeAutospacing="0" w:after="0" w:afterAutospacing="0" w:line="320" w:lineRule="exact"/>
              <w:rPr>
                <w:rFonts w:hint="eastAsia"/>
                <w:color w:val="auto"/>
              </w:rPr>
            </w:pPr>
            <w:r>
              <w:rPr>
                <w:rFonts w:hint="eastAsia"/>
                <w:color w:val="auto"/>
              </w:rPr>
              <w:t>技术实力（2分） ：投标人具有物联网/嵌入式/人工智能相关软件著作权、专利或高新技术企业证书的，每项得1分，最高2分；</w:t>
            </w:r>
          </w:p>
          <w:p w14:paraId="05CC6A6A">
            <w:pPr>
              <w:pStyle w:val="38"/>
              <w:snapToGrid w:val="0"/>
              <w:spacing w:before="0" w:beforeAutospacing="0" w:after="0" w:afterAutospacing="0" w:line="320" w:lineRule="exact"/>
              <w:rPr>
                <w:rFonts w:hint="eastAsia"/>
                <w:color w:val="auto"/>
              </w:rPr>
            </w:pPr>
            <w:r>
              <w:rPr>
                <w:rFonts w:hint="eastAsia"/>
                <w:color w:val="auto"/>
              </w:rPr>
              <w:t>项目团队配置（1分） ：项目团队中具有相关专业高级工程师或同等资质人员的得1分（须提供证明材料）。</w:t>
            </w:r>
          </w:p>
        </w:tc>
        <w:tc>
          <w:tcPr>
            <w:tcW w:w="563" w:type="pct"/>
            <w:tcBorders>
              <w:top w:val="single" w:color="auto" w:sz="4" w:space="0"/>
              <w:left w:val="single" w:color="auto" w:sz="4" w:space="0"/>
              <w:bottom w:val="single" w:color="auto" w:sz="4" w:space="0"/>
              <w:right w:val="single" w:color="auto" w:sz="4" w:space="0"/>
            </w:tcBorders>
            <w:vAlign w:val="center"/>
          </w:tcPr>
          <w:p w14:paraId="0E1B0B8D">
            <w:pPr>
              <w:pStyle w:val="38"/>
              <w:snapToGrid w:val="0"/>
              <w:spacing w:before="120" w:beforeAutospacing="0" w:after="120" w:afterAutospacing="0" w:line="240" w:lineRule="exact"/>
              <w:ind w:left="480" w:hanging="480"/>
              <w:jc w:val="center"/>
              <w:rPr>
                <w:rFonts w:hint="eastAsia"/>
                <w:color w:val="auto"/>
              </w:rPr>
            </w:pPr>
            <w:r>
              <w:rPr>
                <w:rFonts w:hint="eastAsia"/>
                <w:color w:val="auto"/>
              </w:rPr>
              <w:t>5</w:t>
            </w:r>
          </w:p>
        </w:tc>
      </w:tr>
      <w:tr w14:paraId="37B0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bottom w:val="single" w:color="auto" w:sz="4" w:space="0"/>
              <w:right w:val="single" w:color="auto" w:sz="4" w:space="0"/>
            </w:tcBorders>
            <w:vAlign w:val="center"/>
          </w:tcPr>
          <w:p w14:paraId="392AC3E2">
            <w:pPr>
              <w:pStyle w:val="38"/>
              <w:snapToGrid w:val="0"/>
              <w:spacing w:before="120" w:beforeAutospacing="0" w:after="120" w:afterAutospacing="0" w:line="240" w:lineRule="exact"/>
              <w:ind w:left="480" w:hanging="480"/>
              <w:jc w:val="center"/>
              <w:rPr>
                <w:rFonts w:hint="eastAsia"/>
                <w:color w:val="auto"/>
              </w:rPr>
            </w:pPr>
          </w:p>
        </w:tc>
        <w:tc>
          <w:tcPr>
            <w:tcW w:w="664" w:type="pct"/>
            <w:tcBorders>
              <w:left w:val="single" w:color="auto" w:sz="4" w:space="0"/>
              <w:bottom w:val="single" w:color="auto" w:sz="4" w:space="0"/>
              <w:right w:val="single" w:color="auto" w:sz="4" w:space="0"/>
            </w:tcBorders>
            <w:vAlign w:val="center"/>
          </w:tcPr>
          <w:p w14:paraId="38A991DD">
            <w:pPr>
              <w:pStyle w:val="38"/>
              <w:adjustRightInd w:val="0"/>
              <w:snapToGrid w:val="0"/>
              <w:spacing w:before="0" w:beforeAutospacing="0" w:after="0" w:afterAutospacing="0" w:line="300" w:lineRule="exact"/>
              <w:rPr>
                <w:rFonts w:hint="eastAsia"/>
                <w:color w:val="auto"/>
              </w:rPr>
            </w:pPr>
            <w:r>
              <w:rPr>
                <w:color w:val="auto"/>
              </w:rPr>
              <w:t>财务状况、履约信誉、供货保障能力</w:t>
            </w:r>
          </w:p>
        </w:tc>
        <w:tc>
          <w:tcPr>
            <w:tcW w:w="3029" w:type="pct"/>
            <w:tcBorders>
              <w:top w:val="single" w:color="auto" w:sz="4" w:space="0"/>
              <w:left w:val="single" w:color="auto" w:sz="4" w:space="0"/>
              <w:bottom w:val="single" w:color="auto" w:sz="4" w:space="0"/>
              <w:right w:val="single" w:color="auto" w:sz="4" w:space="0"/>
            </w:tcBorders>
            <w:vAlign w:val="center"/>
          </w:tcPr>
          <w:p w14:paraId="5C4DA02D">
            <w:pPr>
              <w:pStyle w:val="38"/>
              <w:snapToGrid w:val="0"/>
              <w:spacing w:before="0" w:beforeAutospacing="0" w:after="0" w:afterAutospacing="0" w:line="320" w:lineRule="exact"/>
              <w:rPr>
                <w:rFonts w:hint="eastAsia"/>
                <w:color w:val="auto"/>
              </w:rPr>
            </w:pPr>
            <w:r>
              <w:rPr>
                <w:rFonts w:hint="eastAsia"/>
                <w:color w:val="auto"/>
              </w:rPr>
              <w:t>财务状况（2分） ：投标人近三年财务状况良好，提供经审计的财务报告，盈利稳定的得2分；</w:t>
            </w:r>
          </w:p>
          <w:p w14:paraId="2906D6D6">
            <w:pPr>
              <w:pStyle w:val="38"/>
              <w:snapToGrid w:val="0"/>
              <w:spacing w:before="0" w:beforeAutospacing="0" w:after="0" w:afterAutospacing="0" w:line="320" w:lineRule="exact"/>
              <w:rPr>
                <w:rFonts w:hint="eastAsia"/>
                <w:color w:val="auto"/>
              </w:rPr>
            </w:pPr>
            <w:r>
              <w:rPr>
                <w:rFonts w:hint="eastAsia"/>
                <w:color w:val="auto"/>
              </w:rPr>
              <w:t>履约信誉（1分） ：无不良履约记录、无重大违法违规记录的得1分；</w:t>
            </w:r>
          </w:p>
          <w:p w14:paraId="066C8638">
            <w:pPr>
              <w:pStyle w:val="38"/>
              <w:snapToGrid w:val="0"/>
              <w:spacing w:before="0" w:beforeAutospacing="0" w:after="0" w:afterAutospacing="0" w:line="320" w:lineRule="exact"/>
              <w:rPr>
                <w:rFonts w:hint="eastAsia"/>
                <w:color w:val="auto"/>
              </w:rPr>
            </w:pPr>
            <w:r>
              <w:rPr>
                <w:rFonts w:hint="eastAsia"/>
                <w:color w:val="auto"/>
              </w:rPr>
              <w:t>供货保障能力（2分） ：投标人具有稳定的供货渠道，能确保设备按时到货的得2分（须提供相关证明材料或承诺函）。</w:t>
            </w:r>
          </w:p>
        </w:tc>
        <w:tc>
          <w:tcPr>
            <w:tcW w:w="563" w:type="pct"/>
            <w:tcBorders>
              <w:top w:val="single" w:color="auto" w:sz="4" w:space="0"/>
              <w:left w:val="single" w:color="auto" w:sz="4" w:space="0"/>
              <w:bottom w:val="single" w:color="auto" w:sz="4" w:space="0"/>
              <w:right w:val="single" w:color="auto" w:sz="4" w:space="0"/>
            </w:tcBorders>
            <w:vAlign w:val="center"/>
          </w:tcPr>
          <w:p w14:paraId="0C65C7D9">
            <w:pPr>
              <w:pStyle w:val="38"/>
              <w:snapToGrid w:val="0"/>
              <w:spacing w:before="120" w:beforeAutospacing="0" w:after="120" w:afterAutospacing="0" w:line="240" w:lineRule="exact"/>
              <w:ind w:left="480" w:hanging="480"/>
              <w:jc w:val="center"/>
              <w:rPr>
                <w:rFonts w:hint="eastAsia"/>
                <w:color w:val="auto"/>
              </w:rPr>
            </w:pPr>
            <w:r>
              <w:rPr>
                <w:rFonts w:hint="eastAsia"/>
                <w:color w:val="auto"/>
              </w:rPr>
              <w:t>5</w:t>
            </w:r>
          </w:p>
        </w:tc>
      </w:tr>
      <w:tr w14:paraId="2BC8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left w:val="single" w:color="auto" w:sz="4" w:space="0"/>
              <w:right w:val="single" w:color="auto" w:sz="4" w:space="0"/>
            </w:tcBorders>
            <w:vAlign w:val="center"/>
          </w:tcPr>
          <w:p w14:paraId="07E413CF">
            <w:pPr>
              <w:pStyle w:val="38"/>
              <w:snapToGrid w:val="0"/>
              <w:spacing w:before="0" w:beforeAutospacing="0" w:after="0" w:afterAutospacing="0" w:line="280" w:lineRule="exact"/>
              <w:rPr>
                <w:rFonts w:hint="eastAsia"/>
                <w:color w:val="auto"/>
              </w:rPr>
            </w:pPr>
            <w:r>
              <w:rPr>
                <w:rFonts w:hint="eastAsia"/>
                <w:color w:val="auto"/>
              </w:rPr>
              <w:t>服务部分（5分）</w:t>
            </w:r>
          </w:p>
        </w:tc>
        <w:tc>
          <w:tcPr>
            <w:tcW w:w="664" w:type="pct"/>
            <w:tcBorders>
              <w:left w:val="single" w:color="auto" w:sz="4" w:space="0"/>
              <w:bottom w:val="single" w:color="auto" w:sz="4" w:space="0"/>
              <w:right w:val="single" w:color="auto" w:sz="4" w:space="0"/>
            </w:tcBorders>
            <w:vAlign w:val="center"/>
          </w:tcPr>
          <w:p w14:paraId="53D89E2D">
            <w:pPr>
              <w:pStyle w:val="38"/>
              <w:snapToGrid w:val="0"/>
              <w:spacing w:before="120" w:beforeAutospacing="0" w:after="120" w:afterAutospacing="0" w:line="300" w:lineRule="exact"/>
              <w:rPr>
                <w:rFonts w:hint="eastAsia"/>
                <w:color w:val="auto"/>
              </w:rPr>
            </w:pPr>
            <w:r>
              <w:rPr>
                <w:color w:val="auto"/>
              </w:rPr>
              <w:t>质保期承诺</w:t>
            </w:r>
          </w:p>
        </w:tc>
        <w:tc>
          <w:tcPr>
            <w:tcW w:w="3029" w:type="pct"/>
            <w:tcBorders>
              <w:top w:val="single" w:color="auto" w:sz="4" w:space="0"/>
              <w:left w:val="single" w:color="auto" w:sz="4" w:space="0"/>
              <w:bottom w:val="single" w:color="auto" w:sz="4" w:space="0"/>
              <w:right w:val="single" w:color="auto" w:sz="4" w:space="0"/>
            </w:tcBorders>
            <w:vAlign w:val="center"/>
          </w:tcPr>
          <w:p w14:paraId="3839041B">
            <w:pPr>
              <w:pStyle w:val="38"/>
              <w:adjustRightInd w:val="0"/>
              <w:snapToGrid w:val="0"/>
              <w:spacing w:before="0" w:beforeAutospacing="0" w:after="0" w:afterAutospacing="0" w:line="320" w:lineRule="exact"/>
              <w:rPr>
                <w:rFonts w:hint="eastAsia"/>
                <w:color w:val="auto"/>
              </w:rPr>
            </w:pPr>
            <w:r>
              <w:rPr>
                <w:color w:val="auto"/>
              </w:rPr>
              <w:t>承诺核心教学设备质保期不少于1年的，得0.5分；承诺质保期超过1年（如2年及以上） 的，得1分。</w:t>
            </w:r>
          </w:p>
        </w:tc>
        <w:tc>
          <w:tcPr>
            <w:tcW w:w="563" w:type="pct"/>
            <w:tcBorders>
              <w:top w:val="single" w:color="auto" w:sz="4" w:space="0"/>
              <w:left w:val="single" w:color="auto" w:sz="4" w:space="0"/>
              <w:bottom w:val="single" w:color="auto" w:sz="4" w:space="0"/>
              <w:right w:val="single" w:color="auto" w:sz="4" w:space="0"/>
            </w:tcBorders>
            <w:vAlign w:val="center"/>
          </w:tcPr>
          <w:p w14:paraId="7E5F5EE4">
            <w:pPr>
              <w:pStyle w:val="38"/>
              <w:snapToGrid w:val="0"/>
              <w:spacing w:before="120" w:beforeAutospacing="0" w:after="120" w:afterAutospacing="0" w:line="240" w:lineRule="exact"/>
              <w:ind w:left="480" w:hanging="480"/>
              <w:jc w:val="center"/>
              <w:rPr>
                <w:rFonts w:hint="eastAsia"/>
                <w:color w:val="auto"/>
              </w:rPr>
            </w:pPr>
            <w:r>
              <w:rPr>
                <w:rFonts w:hint="eastAsia"/>
                <w:color w:val="auto"/>
              </w:rPr>
              <w:t>1</w:t>
            </w:r>
          </w:p>
        </w:tc>
      </w:tr>
      <w:tr w14:paraId="13B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3BFC728F">
            <w:pPr>
              <w:pStyle w:val="38"/>
              <w:snapToGrid w:val="0"/>
              <w:spacing w:before="120" w:beforeAutospacing="0" w:after="120" w:afterAutospacing="0" w:line="240" w:lineRule="exact"/>
              <w:ind w:left="480" w:hanging="480"/>
              <w:jc w:val="center"/>
              <w:rPr>
                <w:rFonts w:hint="eastAsia"/>
                <w:color w:val="auto"/>
              </w:rPr>
            </w:pPr>
          </w:p>
        </w:tc>
        <w:tc>
          <w:tcPr>
            <w:tcW w:w="664" w:type="pct"/>
            <w:tcBorders>
              <w:left w:val="single" w:color="auto" w:sz="4" w:space="0"/>
              <w:bottom w:val="single" w:color="auto" w:sz="4" w:space="0"/>
              <w:right w:val="single" w:color="auto" w:sz="4" w:space="0"/>
            </w:tcBorders>
            <w:vAlign w:val="center"/>
          </w:tcPr>
          <w:p w14:paraId="5EC39A09">
            <w:pPr>
              <w:pStyle w:val="38"/>
              <w:snapToGrid w:val="0"/>
              <w:spacing w:before="120" w:beforeAutospacing="0" w:after="120" w:afterAutospacing="0" w:line="300" w:lineRule="exact"/>
              <w:ind w:left="480" w:hanging="480"/>
              <w:rPr>
                <w:rFonts w:hint="eastAsia"/>
                <w:color w:val="auto"/>
              </w:rPr>
            </w:pPr>
            <w:r>
              <w:rPr>
                <w:color w:val="auto"/>
              </w:rPr>
              <w:t>售后响应</w:t>
            </w:r>
          </w:p>
        </w:tc>
        <w:tc>
          <w:tcPr>
            <w:tcW w:w="3029" w:type="pct"/>
            <w:tcBorders>
              <w:top w:val="single" w:color="auto" w:sz="4" w:space="0"/>
              <w:left w:val="single" w:color="auto" w:sz="4" w:space="0"/>
              <w:bottom w:val="single" w:color="auto" w:sz="4" w:space="0"/>
              <w:right w:val="single" w:color="auto" w:sz="4" w:space="0"/>
            </w:tcBorders>
            <w:vAlign w:val="center"/>
          </w:tcPr>
          <w:p w14:paraId="10F92D0E">
            <w:pPr>
              <w:pStyle w:val="38"/>
              <w:snapToGrid w:val="0"/>
              <w:spacing w:before="0" w:beforeAutospacing="0" w:after="0" w:afterAutospacing="0" w:line="320" w:lineRule="exact"/>
              <w:rPr>
                <w:rFonts w:hint="eastAsia"/>
                <w:color w:val="auto"/>
              </w:rPr>
            </w:pPr>
            <w:r>
              <w:rPr>
                <w:rFonts w:hint="eastAsia"/>
                <w:color w:val="auto"/>
              </w:rPr>
              <w:t>响应时效（1分） ：承诺7×24小时技术响应，2小时内响应故障报修的得0.5分；承诺48小时内派员到达现场处理的得0.5分；</w:t>
            </w:r>
          </w:p>
          <w:p w14:paraId="42422723">
            <w:pPr>
              <w:pStyle w:val="38"/>
              <w:snapToGrid w:val="0"/>
              <w:spacing w:before="0" w:beforeAutospacing="0" w:after="0" w:afterAutospacing="0" w:line="320" w:lineRule="exact"/>
              <w:rPr>
                <w:rFonts w:hint="eastAsia"/>
                <w:color w:val="auto"/>
              </w:rPr>
            </w:pPr>
            <w:r>
              <w:rPr>
                <w:rFonts w:hint="eastAsia"/>
                <w:color w:val="auto"/>
              </w:rPr>
              <w:t>巡检服务（1分） ：承诺每学期提供不少于一次上门巡检、设备校准及系统维护服务的得1分。</w:t>
            </w:r>
          </w:p>
        </w:tc>
        <w:tc>
          <w:tcPr>
            <w:tcW w:w="563" w:type="pct"/>
            <w:tcBorders>
              <w:top w:val="single" w:color="auto" w:sz="4" w:space="0"/>
              <w:left w:val="single" w:color="auto" w:sz="4" w:space="0"/>
              <w:bottom w:val="single" w:color="auto" w:sz="4" w:space="0"/>
              <w:right w:val="single" w:color="auto" w:sz="4" w:space="0"/>
            </w:tcBorders>
            <w:vAlign w:val="center"/>
          </w:tcPr>
          <w:p w14:paraId="7EE43444">
            <w:pPr>
              <w:pStyle w:val="38"/>
              <w:snapToGrid w:val="0"/>
              <w:spacing w:before="120" w:beforeAutospacing="0" w:after="120" w:afterAutospacing="0" w:line="240" w:lineRule="exact"/>
              <w:ind w:left="480" w:hanging="480"/>
              <w:jc w:val="center"/>
              <w:rPr>
                <w:rFonts w:hint="eastAsia"/>
                <w:color w:val="auto"/>
              </w:rPr>
            </w:pPr>
            <w:r>
              <w:rPr>
                <w:rFonts w:hint="eastAsia"/>
                <w:color w:val="auto"/>
              </w:rPr>
              <w:t>2</w:t>
            </w:r>
          </w:p>
        </w:tc>
      </w:tr>
      <w:tr w14:paraId="407F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49C30BD2">
            <w:pPr>
              <w:pStyle w:val="38"/>
              <w:snapToGrid w:val="0"/>
              <w:spacing w:before="120" w:beforeAutospacing="0" w:after="120" w:afterAutospacing="0" w:line="240" w:lineRule="exact"/>
              <w:ind w:left="480" w:hanging="480"/>
              <w:jc w:val="center"/>
              <w:rPr>
                <w:rFonts w:hint="eastAsia"/>
                <w:color w:val="auto"/>
              </w:rPr>
            </w:pPr>
          </w:p>
        </w:tc>
        <w:tc>
          <w:tcPr>
            <w:tcW w:w="664" w:type="pct"/>
            <w:tcBorders>
              <w:left w:val="single" w:color="auto" w:sz="4" w:space="0"/>
              <w:bottom w:val="single" w:color="auto" w:sz="4" w:space="0"/>
              <w:right w:val="single" w:color="auto" w:sz="4" w:space="0"/>
            </w:tcBorders>
            <w:vAlign w:val="center"/>
          </w:tcPr>
          <w:p w14:paraId="5AA953C0">
            <w:pPr>
              <w:pStyle w:val="38"/>
              <w:snapToGrid w:val="0"/>
              <w:spacing w:before="120" w:beforeAutospacing="0" w:after="120" w:afterAutospacing="0" w:line="300" w:lineRule="exact"/>
              <w:ind w:left="480" w:hanging="480"/>
              <w:rPr>
                <w:rFonts w:hint="eastAsia"/>
                <w:color w:val="auto"/>
              </w:rPr>
            </w:pPr>
            <w:r>
              <w:rPr>
                <w:color w:val="auto"/>
              </w:rPr>
              <w:t>培训服务</w:t>
            </w:r>
          </w:p>
        </w:tc>
        <w:tc>
          <w:tcPr>
            <w:tcW w:w="3029" w:type="pct"/>
            <w:tcBorders>
              <w:top w:val="single" w:color="auto" w:sz="4" w:space="0"/>
              <w:left w:val="single" w:color="auto" w:sz="4" w:space="0"/>
              <w:bottom w:val="single" w:color="auto" w:sz="4" w:space="0"/>
              <w:right w:val="single" w:color="auto" w:sz="4" w:space="0"/>
            </w:tcBorders>
            <w:vAlign w:val="center"/>
          </w:tcPr>
          <w:p w14:paraId="2CFECC23">
            <w:pPr>
              <w:pStyle w:val="38"/>
              <w:snapToGrid w:val="0"/>
              <w:spacing w:before="0" w:beforeAutospacing="0" w:after="0" w:afterAutospacing="0" w:line="320" w:lineRule="exact"/>
              <w:rPr>
                <w:rFonts w:hint="eastAsia"/>
                <w:color w:val="auto"/>
              </w:rPr>
            </w:pPr>
            <w:r>
              <w:rPr>
                <w:color w:val="auto"/>
              </w:rPr>
              <w:t>承诺提供全面的设备操作与课程培训，确保任课教师及实验室管理人员能熟练使用所有设备的得1分。</w:t>
            </w:r>
          </w:p>
        </w:tc>
        <w:tc>
          <w:tcPr>
            <w:tcW w:w="563" w:type="pct"/>
            <w:tcBorders>
              <w:top w:val="single" w:color="auto" w:sz="4" w:space="0"/>
              <w:left w:val="single" w:color="auto" w:sz="4" w:space="0"/>
              <w:bottom w:val="single" w:color="auto" w:sz="4" w:space="0"/>
              <w:right w:val="single" w:color="auto" w:sz="4" w:space="0"/>
            </w:tcBorders>
            <w:vAlign w:val="center"/>
          </w:tcPr>
          <w:p w14:paraId="45EA16F5">
            <w:pPr>
              <w:pStyle w:val="38"/>
              <w:snapToGrid w:val="0"/>
              <w:spacing w:before="120" w:beforeAutospacing="0" w:after="120" w:afterAutospacing="0" w:line="240" w:lineRule="exact"/>
              <w:ind w:left="480" w:hanging="480"/>
              <w:jc w:val="center"/>
              <w:rPr>
                <w:rFonts w:hint="eastAsia"/>
                <w:color w:val="auto"/>
              </w:rPr>
            </w:pPr>
            <w:r>
              <w:rPr>
                <w:rFonts w:hint="eastAsia"/>
                <w:color w:val="auto"/>
              </w:rPr>
              <w:t>1</w:t>
            </w:r>
          </w:p>
        </w:tc>
      </w:tr>
      <w:tr w14:paraId="456D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bottom w:val="single" w:color="auto" w:sz="4" w:space="0"/>
              <w:right w:val="single" w:color="auto" w:sz="4" w:space="0"/>
            </w:tcBorders>
            <w:vAlign w:val="center"/>
          </w:tcPr>
          <w:p w14:paraId="78D1438D">
            <w:pPr>
              <w:pStyle w:val="38"/>
              <w:snapToGrid w:val="0"/>
              <w:spacing w:before="120" w:beforeAutospacing="0" w:after="120" w:afterAutospacing="0" w:line="240" w:lineRule="exact"/>
              <w:ind w:left="480" w:hanging="480"/>
              <w:jc w:val="center"/>
              <w:rPr>
                <w:rFonts w:hint="eastAsia"/>
                <w:color w:val="auto"/>
              </w:rPr>
            </w:pPr>
          </w:p>
        </w:tc>
        <w:tc>
          <w:tcPr>
            <w:tcW w:w="664" w:type="pct"/>
            <w:tcBorders>
              <w:left w:val="single" w:color="auto" w:sz="4" w:space="0"/>
              <w:bottom w:val="single" w:color="auto" w:sz="4" w:space="0"/>
              <w:right w:val="single" w:color="auto" w:sz="4" w:space="0"/>
            </w:tcBorders>
            <w:vAlign w:val="center"/>
          </w:tcPr>
          <w:p w14:paraId="0F197249">
            <w:pPr>
              <w:pStyle w:val="38"/>
              <w:snapToGrid w:val="0"/>
              <w:spacing w:before="120" w:beforeAutospacing="0" w:after="120" w:afterAutospacing="0" w:line="300" w:lineRule="exact"/>
              <w:rPr>
                <w:rFonts w:hint="eastAsia"/>
                <w:color w:val="auto"/>
              </w:rPr>
            </w:pPr>
            <w:r>
              <w:rPr>
                <w:color w:val="auto"/>
              </w:rPr>
              <w:t>教学资源配套</w:t>
            </w:r>
          </w:p>
        </w:tc>
        <w:tc>
          <w:tcPr>
            <w:tcW w:w="3029" w:type="pct"/>
            <w:tcBorders>
              <w:top w:val="single" w:color="auto" w:sz="4" w:space="0"/>
              <w:left w:val="single" w:color="auto" w:sz="4" w:space="0"/>
              <w:bottom w:val="single" w:color="auto" w:sz="4" w:space="0"/>
              <w:right w:val="single" w:color="auto" w:sz="4" w:space="0"/>
            </w:tcBorders>
            <w:vAlign w:val="center"/>
          </w:tcPr>
          <w:p w14:paraId="5E4209F3">
            <w:pPr>
              <w:pStyle w:val="38"/>
              <w:snapToGrid w:val="0"/>
              <w:spacing w:before="0" w:beforeAutospacing="0" w:after="0" w:afterAutospacing="0" w:line="320" w:lineRule="exact"/>
              <w:rPr>
                <w:rFonts w:hint="eastAsia"/>
                <w:color w:val="auto"/>
              </w:rPr>
            </w:pPr>
            <w:r>
              <w:rPr>
                <w:color w:val="auto"/>
              </w:rPr>
              <w:t>承诺配套提供不少于16个综合性/设计性实验项目指导书源文件，并将实验室资源融入2-3门核心课程的教学大纲和教案的得1分。</w:t>
            </w:r>
          </w:p>
        </w:tc>
        <w:tc>
          <w:tcPr>
            <w:tcW w:w="563" w:type="pct"/>
            <w:tcBorders>
              <w:top w:val="single" w:color="auto" w:sz="4" w:space="0"/>
              <w:left w:val="single" w:color="auto" w:sz="4" w:space="0"/>
              <w:bottom w:val="single" w:color="auto" w:sz="4" w:space="0"/>
              <w:right w:val="single" w:color="auto" w:sz="4" w:space="0"/>
            </w:tcBorders>
            <w:vAlign w:val="center"/>
          </w:tcPr>
          <w:p w14:paraId="2684884B">
            <w:pPr>
              <w:pStyle w:val="38"/>
              <w:snapToGrid w:val="0"/>
              <w:spacing w:before="120" w:beforeAutospacing="0" w:after="120" w:afterAutospacing="0" w:line="240" w:lineRule="exact"/>
              <w:ind w:left="480" w:hanging="480"/>
              <w:jc w:val="center"/>
              <w:rPr>
                <w:rFonts w:hint="eastAsia"/>
                <w:color w:val="auto"/>
              </w:rPr>
            </w:pPr>
            <w:r>
              <w:rPr>
                <w:rFonts w:hint="eastAsia"/>
                <w:color w:val="auto"/>
              </w:rPr>
              <w:t>1</w:t>
            </w:r>
          </w:p>
        </w:tc>
      </w:tr>
      <w:tr w14:paraId="78DE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tcBorders>
              <w:left w:val="single" w:color="auto" w:sz="4" w:space="0"/>
              <w:bottom w:val="single" w:color="auto" w:sz="4" w:space="0"/>
              <w:right w:val="single" w:color="auto" w:sz="4" w:space="0"/>
            </w:tcBorders>
            <w:vAlign w:val="center"/>
          </w:tcPr>
          <w:p w14:paraId="137ACEA2">
            <w:pPr>
              <w:pStyle w:val="38"/>
              <w:snapToGrid w:val="0"/>
              <w:spacing w:before="120" w:beforeAutospacing="0" w:after="120" w:afterAutospacing="0" w:line="240" w:lineRule="exact"/>
              <w:ind w:left="480" w:hanging="480"/>
              <w:jc w:val="center"/>
              <w:rPr>
                <w:rFonts w:hint="eastAsia"/>
                <w:color w:val="auto"/>
              </w:rPr>
            </w:pPr>
            <w:r>
              <w:rPr>
                <w:rFonts w:hint="eastAsia"/>
                <w:color w:val="auto"/>
              </w:rPr>
              <w:t>合计</w:t>
            </w:r>
          </w:p>
        </w:tc>
        <w:tc>
          <w:tcPr>
            <w:tcW w:w="664" w:type="pct"/>
            <w:tcBorders>
              <w:left w:val="single" w:color="auto" w:sz="4" w:space="0"/>
              <w:bottom w:val="single" w:color="auto" w:sz="4" w:space="0"/>
              <w:right w:val="single" w:color="auto" w:sz="4" w:space="0"/>
            </w:tcBorders>
            <w:vAlign w:val="center"/>
          </w:tcPr>
          <w:p w14:paraId="6955E6F4">
            <w:pPr>
              <w:pStyle w:val="38"/>
              <w:snapToGrid w:val="0"/>
              <w:spacing w:before="120" w:beforeAutospacing="0" w:after="120" w:afterAutospacing="0" w:line="240" w:lineRule="exact"/>
              <w:rPr>
                <w:rFonts w:hint="eastAsia"/>
                <w:color w:val="auto"/>
              </w:rPr>
            </w:pPr>
          </w:p>
        </w:tc>
        <w:tc>
          <w:tcPr>
            <w:tcW w:w="3029" w:type="pct"/>
            <w:tcBorders>
              <w:top w:val="single" w:color="auto" w:sz="4" w:space="0"/>
              <w:left w:val="single" w:color="auto" w:sz="4" w:space="0"/>
              <w:bottom w:val="single" w:color="auto" w:sz="4" w:space="0"/>
              <w:right w:val="single" w:color="auto" w:sz="4" w:space="0"/>
            </w:tcBorders>
            <w:vAlign w:val="center"/>
          </w:tcPr>
          <w:p w14:paraId="1F8A1122">
            <w:pPr>
              <w:pStyle w:val="38"/>
              <w:snapToGrid w:val="0"/>
              <w:spacing w:before="120" w:beforeAutospacing="0" w:after="120" w:afterAutospacing="0" w:line="240" w:lineRule="exact"/>
              <w:ind w:left="480" w:hanging="480"/>
              <w:rPr>
                <w:rFonts w:hint="eastAsia"/>
                <w:color w:val="auto"/>
              </w:rPr>
            </w:pPr>
          </w:p>
        </w:tc>
        <w:tc>
          <w:tcPr>
            <w:tcW w:w="563" w:type="pct"/>
            <w:tcBorders>
              <w:top w:val="single" w:color="auto" w:sz="4" w:space="0"/>
              <w:left w:val="single" w:color="auto" w:sz="4" w:space="0"/>
              <w:bottom w:val="single" w:color="auto" w:sz="4" w:space="0"/>
              <w:right w:val="single" w:color="auto" w:sz="4" w:space="0"/>
            </w:tcBorders>
            <w:vAlign w:val="center"/>
          </w:tcPr>
          <w:p w14:paraId="0EC00DD0">
            <w:pPr>
              <w:pStyle w:val="38"/>
              <w:snapToGrid w:val="0"/>
              <w:spacing w:before="120" w:beforeAutospacing="0" w:after="120" w:afterAutospacing="0" w:line="240" w:lineRule="exact"/>
              <w:ind w:left="480" w:hanging="480"/>
              <w:jc w:val="center"/>
              <w:rPr>
                <w:rFonts w:hint="eastAsia"/>
                <w:color w:val="auto"/>
              </w:rPr>
            </w:pPr>
            <w:r>
              <w:rPr>
                <w:color w:val="auto"/>
              </w:rPr>
              <w:fldChar w:fldCharType="begin"/>
            </w:r>
            <w:r>
              <w:rPr>
                <w:color w:val="auto"/>
              </w:rPr>
              <w:instrText xml:space="preserve"> =SUM(ABOVE) </w:instrText>
            </w:r>
            <w:r>
              <w:rPr>
                <w:color w:val="auto"/>
              </w:rPr>
              <w:fldChar w:fldCharType="separate"/>
            </w:r>
            <w:r>
              <w:rPr>
                <w:color w:val="auto"/>
              </w:rPr>
              <w:t>100</w:t>
            </w:r>
            <w:r>
              <w:rPr>
                <w:color w:val="auto"/>
              </w:rPr>
              <w:fldChar w:fldCharType="end"/>
            </w:r>
          </w:p>
        </w:tc>
      </w:tr>
      <w:bookmarkEnd w:id="361"/>
    </w:tbl>
    <w:p w14:paraId="0C7340B7">
      <w:pPr>
        <w:spacing w:line="520" w:lineRule="exact"/>
        <w:ind w:firstLine="640" w:firstLineChars="200"/>
        <w:rPr>
          <w:rFonts w:ascii="Times New Roman" w:hAnsi="Times New Roman" w:eastAsia="方正仿宋_GBK" w:cs="Times New Roman"/>
          <w:bCs/>
          <w:color w:val="auto"/>
          <w:kern w:val="0"/>
          <w:sz w:val="32"/>
          <w:szCs w:val="32"/>
          <w:lang w:bidi="en-US"/>
        </w:rPr>
      </w:pPr>
    </w:p>
    <w:p w14:paraId="3C867097">
      <w:pPr>
        <w:spacing w:line="520" w:lineRule="exact"/>
        <w:rPr>
          <w:rFonts w:ascii="Times New Roman" w:hAnsi="Times New Roman" w:eastAsia="方正仿宋_GBK" w:cs="Times New Roman"/>
          <w:bCs/>
          <w:color w:val="auto"/>
          <w:kern w:val="0"/>
          <w:sz w:val="32"/>
          <w:szCs w:val="32"/>
          <w:lang w:bidi="en-US"/>
        </w:rPr>
      </w:pPr>
    </w:p>
    <w:p w14:paraId="0C9A2EF8">
      <w:pPr>
        <w:pStyle w:val="2"/>
        <w:numPr>
          <w:ilvl w:val="0"/>
          <w:numId w:val="0"/>
        </w:numPr>
        <w:spacing w:before="0" w:after="0" w:line="520" w:lineRule="exact"/>
        <w:rPr>
          <w:rFonts w:hint="eastAsia" w:ascii="方正小标宋_GBK" w:hAnsi="方正小标宋_GBK" w:eastAsia="方正小标宋_GBK" w:cs="方正小标宋_GBK"/>
          <w:b w:val="0"/>
          <w:bCs w:val="0"/>
          <w:color w:val="auto"/>
        </w:rPr>
      </w:pPr>
    </w:p>
    <w:p w14:paraId="120898F8">
      <w:pPr>
        <w:pStyle w:val="2"/>
        <w:numPr>
          <w:ilvl w:val="0"/>
          <w:numId w:val="0"/>
        </w:numPr>
        <w:spacing w:before="0" w:after="0" w:line="520" w:lineRule="exact"/>
        <w:rPr>
          <w:rFonts w:hint="eastAsia" w:ascii="方正小标宋_GBK" w:hAnsi="方正小标宋_GBK" w:eastAsia="方正小标宋_GBK" w:cs="方正小标宋_GBK"/>
          <w:b w:val="0"/>
          <w:bCs w:val="0"/>
          <w:color w:val="auto"/>
        </w:rPr>
      </w:pPr>
      <w:r>
        <w:rPr>
          <w:rFonts w:hint="eastAsia" w:ascii="方正小标宋_GBK" w:hAnsi="方正小标宋_GBK" w:eastAsia="方正小标宋_GBK" w:cs="方正小标宋_GBK"/>
          <w:b w:val="0"/>
          <w:bCs w:val="0"/>
          <w:color w:val="auto"/>
        </w:rPr>
        <w:t xml:space="preserve"> </w:t>
      </w:r>
    </w:p>
    <w:p w14:paraId="6EE11066">
      <w:pPr>
        <w:rPr>
          <w:rFonts w:hint="eastAsia" w:ascii="方正小标宋_GBK" w:hAnsi="方正小标宋_GBK" w:eastAsia="方正小标宋_GBK" w:cs="方正小标宋_GBK"/>
          <w:color w:val="auto"/>
        </w:rPr>
      </w:pPr>
      <w:r>
        <w:rPr>
          <w:rFonts w:ascii="方正小标宋_GBK" w:hAnsi="方正小标宋_GBK" w:eastAsia="方正小标宋_GBK" w:cs="方正小标宋_GBK"/>
          <w:color w:val="auto"/>
        </w:rPr>
        <w:br w:type="page"/>
      </w:r>
    </w:p>
    <w:p w14:paraId="4B3EFCA2">
      <w:pPr>
        <w:pStyle w:val="2"/>
        <w:numPr>
          <w:ilvl w:val="0"/>
          <w:numId w:val="0"/>
        </w:numPr>
        <w:spacing w:before="0" w:after="0" w:line="520" w:lineRule="exact"/>
        <w:jc w:val="center"/>
        <w:rPr>
          <w:rFonts w:hint="eastAsia" w:ascii="方正小标宋_GBK" w:hAnsi="方正小标宋_GBK" w:eastAsia="方正小标宋_GBK" w:cs="方正小标宋_GBK"/>
          <w:b w:val="0"/>
          <w:bCs w:val="0"/>
          <w:color w:val="auto"/>
        </w:rPr>
      </w:pPr>
      <w:bookmarkStart w:id="362" w:name="_Toc14314"/>
      <w:r>
        <w:rPr>
          <w:rFonts w:hint="eastAsia" w:ascii="方正小标宋_GBK" w:hAnsi="方正小标宋_GBK" w:eastAsia="方正小标宋_GBK" w:cs="方正小标宋_GBK"/>
          <w:b w:val="0"/>
          <w:bCs w:val="0"/>
          <w:color w:val="auto"/>
        </w:rPr>
        <w:t>第五章 投标文件格式</w:t>
      </w:r>
      <w:bookmarkEnd w:id="358"/>
      <w:bookmarkEnd w:id="359"/>
      <w:bookmarkEnd w:id="360"/>
      <w:bookmarkEnd w:id="362"/>
    </w:p>
    <w:p w14:paraId="3E13F35F">
      <w:pPr>
        <w:spacing w:line="520" w:lineRule="exact"/>
        <w:rPr>
          <w:rFonts w:hint="eastAsia" w:ascii="仿宋" w:hAnsi="仿宋" w:eastAsia="仿宋" w:cs="仿宋"/>
          <w:b/>
          <w:color w:val="auto"/>
          <w:sz w:val="28"/>
          <w:szCs w:val="28"/>
        </w:rPr>
      </w:pPr>
      <w:bookmarkStart w:id="363" w:name="_Toc425408086"/>
      <w:bookmarkStart w:id="364" w:name="_Toc217446082"/>
    </w:p>
    <w:p w14:paraId="4A6EBC20">
      <w:pPr>
        <w:spacing w:line="520" w:lineRule="exact"/>
        <w:rPr>
          <w:rFonts w:ascii="仿宋" w:hAnsi="仿宋" w:eastAsia="仿宋" w:cs="仿宋"/>
          <w:b/>
          <w:color w:val="auto"/>
          <w:sz w:val="28"/>
          <w:szCs w:val="28"/>
        </w:rPr>
      </w:pPr>
      <w:r>
        <w:rPr>
          <w:rFonts w:hint="eastAsia" w:ascii="仿宋" w:hAnsi="仿宋" w:eastAsia="仿宋" w:cs="仿宋"/>
          <w:b/>
          <w:color w:val="auto"/>
          <w:sz w:val="28"/>
          <w:szCs w:val="28"/>
        </w:rPr>
        <w:t>一、投 标 函</w:t>
      </w:r>
      <w:bookmarkEnd w:id="363"/>
      <w:bookmarkEnd w:id="364"/>
    </w:p>
    <w:p w14:paraId="1533F956">
      <w:pPr>
        <w:keepNext w:val="0"/>
        <w:keepLines w:val="0"/>
        <w:pageBreakBefore w:val="0"/>
        <w:widowControl w:val="0"/>
        <w:kinsoku/>
        <w:wordWrap/>
        <w:overflowPunct/>
        <w:topLinePunct w:val="0"/>
        <w:autoSpaceDE/>
        <w:autoSpaceDN/>
        <w:bidi w:val="0"/>
        <w:adjustRightInd/>
        <w:spacing w:line="400" w:lineRule="exact"/>
        <w:ind w:firstLine="280" w:firstLineChars="100"/>
        <w:textAlignment w:val="auto"/>
        <w:rPr>
          <w:rFonts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（采购人）：</w:t>
      </w:r>
    </w:p>
    <w:p w14:paraId="6F93C367">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我方全面研究了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项目招标文件，决定参加贵单位组织的本项目投标。我方授权</w:t>
      </w:r>
      <w:r>
        <w:rPr>
          <w:rFonts w:hint="eastAsia" w:ascii="仿宋" w:hAnsi="仿宋" w:eastAsia="仿宋" w:cs="仿宋"/>
          <w:color w:val="auto"/>
          <w:sz w:val="28"/>
          <w:szCs w:val="28"/>
          <w:u w:val="single"/>
        </w:rPr>
        <w:t>（姓名、职务）</w:t>
      </w:r>
      <w:r>
        <w:rPr>
          <w:rFonts w:hint="eastAsia" w:ascii="仿宋" w:hAnsi="仿宋" w:eastAsia="仿宋" w:cs="仿宋"/>
          <w:color w:val="auto"/>
          <w:sz w:val="28"/>
          <w:szCs w:val="28"/>
        </w:rPr>
        <w:t>代表我方</w:t>
      </w:r>
      <w:r>
        <w:rPr>
          <w:rFonts w:hint="eastAsia" w:ascii="仿宋" w:hAnsi="仿宋" w:eastAsia="仿宋" w:cs="仿宋"/>
          <w:color w:val="auto"/>
          <w:sz w:val="28"/>
          <w:szCs w:val="28"/>
          <w:u w:val="single"/>
        </w:rPr>
        <w:t>（投标单位的名称）</w:t>
      </w:r>
      <w:r>
        <w:rPr>
          <w:rFonts w:hint="eastAsia" w:ascii="仿宋" w:hAnsi="仿宋" w:eastAsia="仿宋" w:cs="仿宋"/>
          <w:color w:val="auto"/>
          <w:sz w:val="28"/>
          <w:szCs w:val="28"/>
        </w:rPr>
        <w:t>全权处理本项目投标的有关事宜。我方就参加本次投标有关事项郑重声明如下：</w:t>
      </w:r>
    </w:p>
    <w:p w14:paraId="0A8C6CD5">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我方完全理解并接受招标文件约定的内容，并承诺满足招标文件对投标人资格、技术、商务等提出的所有要求。</w:t>
      </w:r>
    </w:p>
    <w:p w14:paraId="087DF09D">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2.我方提交的所有投标文件、资料都是准确和真实的，如有虚假或隐瞒，我方愿意承担一切法律责任。</w:t>
      </w:r>
    </w:p>
    <w:p w14:paraId="08532941">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我方为本项目提交的投标文件正本</w:t>
      </w:r>
      <w:r>
        <w:rPr>
          <w:rFonts w:hint="eastAsia" w:ascii="仿宋" w:hAnsi="仿宋" w:eastAsia="仿宋" w:cs="仿宋"/>
          <w:color w:val="auto"/>
          <w:sz w:val="28"/>
          <w:szCs w:val="28"/>
          <w:u w:val="single"/>
        </w:rPr>
        <w:t xml:space="preserve"> 一</w:t>
      </w:r>
      <w:r>
        <w:rPr>
          <w:rFonts w:hint="eastAsia" w:ascii="仿宋" w:hAnsi="仿宋" w:eastAsia="仿宋" w:cs="仿宋"/>
          <w:color w:val="auto"/>
          <w:sz w:val="28"/>
          <w:szCs w:val="28"/>
        </w:rPr>
        <w:t xml:space="preserve"> 份，副本</w:t>
      </w:r>
      <w:r>
        <w:rPr>
          <w:rFonts w:hint="eastAsia" w:ascii="仿宋" w:hAnsi="仿宋" w:eastAsia="仿宋" w:cs="仿宋"/>
          <w:color w:val="auto"/>
          <w:sz w:val="28"/>
          <w:szCs w:val="28"/>
          <w:u w:val="single"/>
        </w:rPr>
        <w:t xml:space="preserve"> 二</w:t>
      </w:r>
      <w:r>
        <w:rPr>
          <w:rFonts w:hint="eastAsia" w:ascii="仿宋" w:hAnsi="仿宋" w:eastAsia="仿宋" w:cs="仿宋"/>
          <w:color w:val="auto"/>
          <w:sz w:val="28"/>
          <w:szCs w:val="28"/>
        </w:rPr>
        <w:t xml:space="preserve"> 份</w:t>
      </w:r>
      <w:r>
        <w:rPr>
          <w:rFonts w:hint="eastAsia" w:ascii="仿宋" w:hAnsi="仿宋" w:eastAsia="仿宋" w:cs="仿宋"/>
          <w:color w:val="auto"/>
          <w:sz w:val="28"/>
          <w:szCs w:val="28"/>
          <w:lang w:val="en-US" w:eastAsia="zh-CN"/>
        </w:rPr>
        <w:t>,电子文档</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一 </w:t>
      </w:r>
      <w:r>
        <w:rPr>
          <w:rFonts w:hint="eastAsia" w:ascii="仿宋" w:hAnsi="仿宋" w:eastAsia="仿宋" w:cs="仿宋"/>
          <w:color w:val="auto"/>
          <w:sz w:val="28"/>
          <w:szCs w:val="28"/>
          <w:lang w:val="en-US" w:eastAsia="zh-CN"/>
        </w:rPr>
        <w:t>份。</w:t>
      </w:r>
    </w:p>
    <w:p w14:paraId="4837D037">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.我方自愿按照招标文件规定的各项要求向采购人提供所需货物/服务，总投标价为人民币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203BA799">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.一旦我方中标，我方将严格履行合同规定的责任和义务，保证于中标通知书（电子或纸质版以先送到为准）送达后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日内完成项目的安装、调试等服务内容，并交付采购人验收、使用。</w:t>
      </w:r>
    </w:p>
    <w:p w14:paraId="4A2117C6">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我方承诺：本次投标的投标有效期为投标截止时间起90天。</w:t>
      </w:r>
    </w:p>
    <w:p w14:paraId="346C1D16">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.我方愿意提供贵单位可能另外要求的，与投标有关的文件资料，并保证我方已提供和将要提供的文件资料是真实、准确的。</w:t>
      </w:r>
    </w:p>
    <w:p w14:paraId="32A4A218">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.我方完全理解采购人不一定将合同授予最低报价的投标人的行为。</w:t>
      </w:r>
    </w:p>
    <w:p w14:paraId="7B1A5AC3">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我方同意按招标文件要求，交纳足额投标保证金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履约保证金。</w:t>
      </w:r>
    </w:p>
    <w:p w14:paraId="52C348E3">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若我方中标，愿意按招标文件要求缴纳</w:t>
      </w:r>
      <w:r>
        <w:rPr>
          <w:rFonts w:hint="eastAsia" w:ascii="仿宋" w:hAnsi="仿宋" w:eastAsia="仿宋" w:cs="仿宋"/>
          <w:color w:val="auto"/>
          <w:sz w:val="28"/>
          <w:szCs w:val="28"/>
          <w:lang w:val="en-US" w:eastAsia="zh-CN"/>
        </w:rPr>
        <w:t>标书资料费和中标服务费等投标费用</w:t>
      </w:r>
      <w:r>
        <w:rPr>
          <w:rFonts w:hint="eastAsia" w:ascii="仿宋" w:hAnsi="仿宋" w:eastAsia="仿宋" w:cs="仿宋"/>
          <w:color w:val="auto"/>
          <w:sz w:val="28"/>
          <w:szCs w:val="28"/>
        </w:rPr>
        <w:t>。</w:t>
      </w:r>
    </w:p>
    <w:p w14:paraId="70EB4909">
      <w:pPr>
        <w:spacing w:line="520" w:lineRule="exact"/>
        <w:ind w:firstLine="537" w:firstLineChars="192"/>
        <w:rPr>
          <w:rFonts w:ascii="仿宋" w:hAnsi="仿宋" w:eastAsia="仿宋" w:cs="仿宋"/>
          <w:color w:val="auto"/>
          <w:sz w:val="28"/>
          <w:szCs w:val="28"/>
        </w:rPr>
      </w:pPr>
    </w:p>
    <w:p w14:paraId="091E4253">
      <w:pPr>
        <w:spacing w:line="520" w:lineRule="exact"/>
        <w:ind w:firstLine="537" w:firstLineChars="192"/>
        <w:jc w:val="center"/>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lang w:val="en-US" w:eastAsia="zh-CN"/>
        </w:rPr>
        <w:t>公章</w:t>
      </w:r>
      <w:r>
        <w:rPr>
          <w:rFonts w:hint="eastAsia" w:ascii="仿宋" w:hAnsi="仿宋" w:eastAsia="仿宋" w:cs="仿宋"/>
          <w:color w:val="auto"/>
          <w:sz w:val="28"/>
          <w:szCs w:val="28"/>
        </w:rPr>
        <w:t xml:space="preserve">）：        </w:t>
      </w:r>
    </w:p>
    <w:p w14:paraId="15A86945">
      <w:pPr>
        <w:spacing w:line="520" w:lineRule="exact"/>
        <w:ind w:firstLine="537" w:firstLineChars="192"/>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法定代表人或授权代表（签字）：</w:t>
      </w:r>
    </w:p>
    <w:p w14:paraId="6B5C2203">
      <w:pPr>
        <w:spacing w:line="520" w:lineRule="exact"/>
        <w:ind w:firstLine="3360" w:firstLineChars="1200"/>
        <w:jc w:val="both"/>
        <w:rPr>
          <w:rFonts w:ascii="仿宋" w:hAnsi="仿宋" w:eastAsia="仿宋" w:cs="仿宋"/>
          <w:color w:val="auto"/>
          <w:sz w:val="28"/>
          <w:szCs w:val="28"/>
        </w:rPr>
      </w:pPr>
      <w:r>
        <w:rPr>
          <w:rFonts w:hint="eastAsia" w:ascii="仿宋" w:hAnsi="仿宋" w:eastAsia="仿宋" w:cs="仿宋"/>
          <w:color w:val="auto"/>
          <w:sz w:val="28"/>
          <w:szCs w:val="28"/>
        </w:rPr>
        <w:t>日    期：</w:t>
      </w:r>
    </w:p>
    <w:p w14:paraId="1AA8FD00">
      <w:pPr>
        <w:spacing w:line="520" w:lineRule="exact"/>
        <w:rPr>
          <w:rFonts w:ascii="仿宋" w:hAnsi="仿宋" w:eastAsia="仿宋" w:cs="仿宋"/>
          <w:b/>
          <w:color w:val="auto"/>
          <w:sz w:val="28"/>
          <w:szCs w:val="28"/>
        </w:rPr>
      </w:pPr>
      <w:bookmarkStart w:id="365" w:name="_Toc425408087"/>
      <w:r>
        <w:rPr>
          <w:rFonts w:hint="eastAsia" w:ascii="仿宋" w:hAnsi="仿宋" w:eastAsia="仿宋" w:cs="仿宋"/>
          <w:b/>
          <w:color w:val="auto"/>
          <w:sz w:val="28"/>
          <w:szCs w:val="28"/>
        </w:rPr>
        <w:t>二、法定代表人授权书</w:t>
      </w:r>
      <w:bookmarkEnd w:id="365"/>
    </w:p>
    <w:p w14:paraId="5FFEAF95">
      <w:pPr>
        <w:spacing w:line="520" w:lineRule="exact"/>
        <w:ind w:firstLine="537" w:firstLineChars="192"/>
        <w:rPr>
          <w:rFonts w:ascii="仿宋" w:hAnsi="仿宋" w:eastAsia="仿宋" w:cs="仿宋"/>
          <w:color w:val="auto"/>
          <w:sz w:val="28"/>
          <w:szCs w:val="28"/>
        </w:rPr>
      </w:pPr>
      <w:r>
        <w:rPr>
          <w:rFonts w:hint="eastAsia" w:ascii="仿宋" w:hAnsi="仿宋" w:eastAsia="仿宋" w:cs="仿宋"/>
          <w:color w:val="auto"/>
          <w:sz w:val="28"/>
          <w:szCs w:val="28"/>
        </w:rPr>
        <w:t>__________________（采购人）：</w:t>
      </w:r>
    </w:p>
    <w:p w14:paraId="48A2C504">
      <w:pPr>
        <w:spacing w:line="520" w:lineRule="exact"/>
        <w:ind w:firstLine="537" w:firstLineChars="192"/>
        <w:rPr>
          <w:rFonts w:ascii="仿宋" w:hAnsi="仿宋" w:eastAsia="仿宋" w:cs="仿宋"/>
          <w:color w:val="auto"/>
          <w:sz w:val="28"/>
          <w:szCs w:val="28"/>
        </w:rPr>
      </w:pPr>
      <w:r>
        <w:rPr>
          <w:rFonts w:hint="eastAsia" w:ascii="仿宋" w:hAnsi="仿宋" w:eastAsia="仿宋" w:cs="仿宋"/>
          <w:color w:val="auto"/>
          <w:sz w:val="28"/>
          <w:szCs w:val="28"/>
        </w:rPr>
        <w:t>本授权声明：（投标人名称）（法定代表人姓名、职务）授权（被授权人姓名、职务）为我方 “ ” 项目投标活动的合法代表，以我方名义全权处理该项目有关投标、签订合同以及执行合同等一切事宜。</w:t>
      </w:r>
    </w:p>
    <w:p w14:paraId="276CF4C9">
      <w:pPr>
        <w:spacing w:line="520" w:lineRule="exact"/>
        <w:ind w:firstLine="537" w:firstLineChars="192"/>
        <w:rPr>
          <w:rFonts w:ascii="仿宋" w:hAnsi="仿宋" w:eastAsia="仿宋" w:cs="仿宋"/>
          <w:color w:val="auto"/>
          <w:sz w:val="28"/>
          <w:szCs w:val="28"/>
        </w:rPr>
      </w:pPr>
      <w:r>
        <w:rPr>
          <w:rFonts w:hint="eastAsia" w:ascii="仿宋" w:hAnsi="仿宋" w:eastAsia="仿宋" w:cs="仿宋"/>
          <w:color w:val="auto"/>
          <w:sz w:val="28"/>
          <w:szCs w:val="28"/>
        </w:rPr>
        <w:t>特此声明。</w:t>
      </w:r>
    </w:p>
    <w:p w14:paraId="19F77DB1">
      <w:pPr>
        <w:spacing w:line="520" w:lineRule="exact"/>
        <w:ind w:firstLine="537" w:firstLineChars="192"/>
        <w:rPr>
          <w:rFonts w:ascii="仿宋" w:hAnsi="仿宋" w:eastAsia="仿宋" w:cs="仿宋"/>
          <w:color w:val="auto"/>
          <w:sz w:val="28"/>
          <w:szCs w:val="28"/>
        </w:rPr>
      </w:pPr>
      <w:r>
        <w:rPr>
          <w:rFonts w:hint="eastAsia" w:ascii="仿宋" w:hAnsi="仿宋" w:eastAsia="仿宋" w:cs="仿宋"/>
          <w:color w:val="auto"/>
          <w:sz w:val="28"/>
          <w:szCs w:val="28"/>
        </w:rPr>
        <w:t>法定代表人签字：</w:t>
      </w:r>
    </w:p>
    <w:p w14:paraId="469DAB65">
      <w:pPr>
        <w:spacing w:line="520" w:lineRule="exact"/>
        <w:ind w:firstLine="537" w:firstLineChars="192"/>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29C50F18">
      <w:pPr>
        <w:spacing w:line="520" w:lineRule="exact"/>
        <w:ind w:firstLine="537" w:firstLineChars="192"/>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lang w:val="en-US" w:eastAsia="zh-CN"/>
        </w:rPr>
        <w:t>公</w:t>
      </w:r>
      <w:r>
        <w:rPr>
          <w:rFonts w:hint="eastAsia" w:ascii="仿宋" w:hAnsi="仿宋" w:eastAsia="仿宋" w:cs="仿宋"/>
          <w:color w:val="auto"/>
          <w:sz w:val="28"/>
          <w:szCs w:val="28"/>
        </w:rPr>
        <w:t xml:space="preserve">章）：         </w:t>
      </w:r>
    </w:p>
    <w:p w14:paraId="07E0D78D">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    期：</w:t>
      </w:r>
    </w:p>
    <w:p w14:paraId="57B9E8CE">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附：法定代表人及被授权人身份证身印件　　</w:t>
      </w:r>
    </w:p>
    <w:p w14:paraId="1225039A">
      <w:pPr>
        <w:spacing w:line="520" w:lineRule="exact"/>
        <w:ind w:firstLine="537" w:firstLineChars="192"/>
        <w:rPr>
          <w:rFonts w:ascii="仿宋" w:hAnsi="仿宋" w:eastAsia="仿宋" w:cs="仿宋"/>
          <w:color w:val="auto"/>
          <w:sz w:val="28"/>
          <w:szCs w:val="28"/>
        </w:rPr>
      </w:pPr>
    </w:p>
    <w:p w14:paraId="3107D97A">
      <w:pPr>
        <w:pStyle w:val="23"/>
        <w:spacing w:line="520" w:lineRule="exact"/>
        <w:rPr>
          <w:rFonts w:ascii="仿宋" w:hAnsi="仿宋" w:eastAsia="仿宋" w:cs="仿宋"/>
          <w:b/>
          <w:bCs/>
          <w:color w:val="auto"/>
          <w:sz w:val="28"/>
          <w:szCs w:val="28"/>
        </w:rPr>
      </w:pPr>
      <w:r>
        <w:rPr>
          <w:rFonts w:hint="eastAsia" w:ascii="仿宋" w:hAnsi="仿宋" w:eastAsia="仿宋" w:cs="仿宋"/>
          <w:b/>
          <w:bCs/>
          <w:color w:val="auto"/>
          <w:sz w:val="28"/>
          <w:szCs w:val="28"/>
        </w:rPr>
        <w:t>（若法定代表人亲自参加投标活动，需提供法定代表人身份证明，格式如下）</w:t>
      </w:r>
    </w:p>
    <w:p w14:paraId="152EEF72">
      <w:pPr>
        <w:pStyle w:val="38"/>
        <w:spacing w:line="520" w:lineRule="exact"/>
        <w:jc w:val="center"/>
        <w:rPr>
          <w:rFonts w:ascii="仿宋" w:hAnsi="仿宋" w:eastAsia="仿宋" w:cs="仿宋"/>
          <w:color w:val="auto"/>
          <w:sz w:val="28"/>
          <w:szCs w:val="28"/>
        </w:rPr>
      </w:pPr>
      <w:r>
        <w:rPr>
          <w:rStyle w:val="45"/>
          <w:rFonts w:hint="eastAsia" w:ascii="仿宋" w:hAnsi="仿宋" w:eastAsia="仿宋" w:cs="仿宋"/>
          <w:color w:val="auto"/>
          <w:sz w:val="28"/>
          <w:szCs w:val="28"/>
        </w:rPr>
        <w:t>法定代表人身份证明书</w:t>
      </w:r>
    </w:p>
    <w:p w14:paraId="44A49EE3">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×××（姓名、性别、年龄）在我公司（或者企业、单位）任×××（董事长、总经理等）职务，是我公司（或者企业、单位）的法定代表人。　　</w:t>
      </w:r>
    </w:p>
    <w:p w14:paraId="7A704653">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特此证明。　　</w:t>
      </w:r>
    </w:p>
    <w:p w14:paraId="4046D284">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×××公司（单位全称加盖公章） 　　</w:t>
      </w:r>
    </w:p>
    <w:p w14:paraId="7806EF3C">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×年×月×日 　　</w:t>
      </w:r>
    </w:p>
    <w:p w14:paraId="3D14D678">
      <w:pPr>
        <w:spacing w:line="520" w:lineRule="exact"/>
        <w:ind w:firstLine="560" w:firstLineChars="200"/>
        <w:rPr>
          <w:rFonts w:ascii="仿宋" w:hAnsi="仿宋" w:eastAsia="仿宋" w:cs="仿宋"/>
          <w:color w:val="auto"/>
          <w:sz w:val="28"/>
          <w:szCs w:val="28"/>
        </w:rPr>
      </w:pPr>
    </w:p>
    <w:p w14:paraId="6374953B">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法定代表人住址： 　　</w:t>
      </w:r>
    </w:p>
    <w:p w14:paraId="0A8DD7E5">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电话： </w:t>
      </w:r>
    </w:p>
    <w:p w14:paraId="7EA02F66">
      <w:pPr>
        <w:spacing w:line="520" w:lineRule="exact"/>
        <w:rPr>
          <w:rFonts w:ascii="仿宋" w:hAnsi="仿宋" w:eastAsia="仿宋" w:cs="仿宋"/>
          <w:color w:val="auto"/>
          <w:sz w:val="28"/>
          <w:szCs w:val="28"/>
        </w:rPr>
      </w:pPr>
      <w:r>
        <w:rPr>
          <w:rFonts w:hint="eastAsia" w:ascii="仿宋" w:hAnsi="仿宋" w:eastAsia="仿宋" w:cs="仿宋"/>
          <w:color w:val="auto"/>
          <w:sz w:val="28"/>
          <w:szCs w:val="28"/>
        </w:rPr>
        <w:t>附：法定代表人身份证身印件　　</w:t>
      </w:r>
    </w:p>
    <w:p w14:paraId="624759A2">
      <w:pPr>
        <w:spacing w:line="500" w:lineRule="exact"/>
        <w:ind w:firstLine="463" w:firstLineChars="192"/>
        <w:rPr>
          <w:rFonts w:hint="eastAsia" w:asciiTheme="minorEastAsia" w:hAnsiTheme="minorEastAsia" w:eastAsiaTheme="minorEastAsia"/>
          <w:b/>
          <w:color w:val="auto"/>
          <w:szCs w:val="28"/>
        </w:rPr>
        <w:sectPr>
          <w:pgSz w:w="11905" w:h="16838"/>
          <w:pgMar w:top="1440" w:right="1468" w:bottom="1440" w:left="1440" w:header="851" w:footer="992" w:gutter="0"/>
          <w:cols w:space="0" w:num="1"/>
          <w:rtlGutter w:val="0"/>
          <w:docGrid w:linePitch="312" w:charSpace="0"/>
        </w:sectPr>
      </w:pPr>
    </w:p>
    <w:p w14:paraId="6646862C">
      <w:pPr>
        <w:numPr>
          <w:ilvl w:val="0"/>
          <w:numId w:val="0"/>
        </w:numPr>
        <w:autoSpaceDE w:val="0"/>
        <w:autoSpaceDN w:val="0"/>
        <w:adjustRightInd w:val="0"/>
        <w:snapToGrid w:val="0"/>
        <w:spacing w:line="360" w:lineRule="auto"/>
        <w:jc w:val="left"/>
        <w:outlineLvl w:val="1"/>
        <w:rPr>
          <w:rFonts w:hint="eastAsia" w:ascii="仿宋" w:hAnsi="仿宋" w:eastAsia="仿宋" w:cs="仿宋"/>
          <w:b/>
          <w:color w:val="auto"/>
          <w:w w:val="99"/>
          <w:kern w:val="0"/>
          <w:sz w:val="28"/>
          <w:szCs w:val="28"/>
          <w:lang w:val="en-US" w:eastAsia="zh-CN"/>
        </w:rPr>
      </w:pPr>
      <w:bookmarkStart w:id="366" w:name="_Toc26925"/>
      <w:r>
        <w:rPr>
          <w:rFonts w:hint="eastAsia" w:ascii="仿宋" w:hAnsi="仿宋" w:eastAsia="仿宋" w:cs="仿宋"/>
          <w:b/>
          <w:color w:val="auto"/>
          <w:w w:val="99"/>
          <w:kern w:val="0"/>
          <w:sz w:val="28"/>
          <w:szCs w:val="28"/>
          <w:lang w:val="en-US" w:eastAsia="zh-CN"/>
        </w:rPr>
        <w:t>三、</w:t>
      </w:r>
      <w:r>
        <w:rPr>
          <w:rFonts w:hint="eastAsia" w:ascii="仿宋" w:hAnsi="仿宋" w:eastAsia="仿宋" w:cs="仿宋"/>
          <w:b/>
          <w:color w:val="auto"/>
          <w:w w:val="99"/>
          <w:kern w:val="0"/>
          <w:sz w:val="28"/>
          <w:szCs w:val="28"/>
          <w:lang w:val="zh-CN"/>
        </w:rPr>
        <w:t>投标人</w:t>
      </w:r>
      <w:r>
        <w:rPr>
          <w:rFonts w:ascii="仿宋" w:hAnsi="仿宋" w:eastAsia="仿宋" w:cs="仿宋"/>
          <w:b/>
          <w:color w:val="auto"/>
          <w:w w:val="99"/>
          <w:kern w:val="0"/>
          <w:sz w:val="28"/>
          <w:szCs w:val="28"/>
        </w:rPr>
        <w:t>资格审查</w:t>
      </w:r>
      <w:r>
        <w:rPr>
          <w:rFonts w:hint="eastAsia" w:ascii="仿宋" w:hAnsi="仿宋" w:eastAsia="仿宋" w:cs="仿宋"/>
          <w:b/>
          <w:color w:val="auto"/>
          <w:w w:val="99"/>
          <w:kern w:val="0"/>
          <w:sz w:val="28"/>
          <w:szCs w:val="28"/>
          <w:lang w:val="en-US" w:eastAsia="zh-CN"/>
        </w:rPr>
        <w:t>文件</w:t>
      </w:r>
    </w:p>
    <w:p w14:paraId="3A963C86">
      <w:pPr>
        <w:numPr>
          <w:ilvl w:val="255"/>
          <w:numId w:val="0"/>
        </w:numPr>
        <w:autoSpaceDE w:val="0"/>
        <w:autoSpaceDN w:val="0"/>
        <w:adjustRightInd w:val="0"/>
        <w:snapToGrid w:val="0"/>
        <w:spacing w:line="360" w:lineRule="auto"/>
        <w:jc w:val="left"/>
        <w:outlineLvl w:val="1"/>
        <w:rPr>
          <w:rFonts w:ascii="仿宋" w:hAnsi="仿宋" w:eastAsia="仿宋" w:cs="仿宋"/>
          <w:b/>
          <w:color w:val="auto"/>
          <w:w w:val="99"/>
          <w:kern w:val="0"/>
          <w:sz w:val="28"/>
          <w:szCs w:val="28"/>
          <w:lang w:val="zh-CN"/>
        </w:rPr>
      </w:pPr>
      <w:r>
        <w:rPr>
          <w:rFonts w:ascii="仿宋" w:hAnsi="仿宋" w:eastAsia="仿宋" w:cs="仿宋"/>
          <w:b/>
          <w:color w:val="auto"/>
          <w:w w:val="99"/>
          <w:kern w:val="0"/>
          <w:sz w:val="28"/>
          <w:szCs w:val="28"/>
        </w:rPr>
        <w:t>（一)投标人</w:t>
      </w:r>
      <w:r>
        <w:rPr>
          <w:rFonts w:hint="eastAsia" w:ascii="仿宋" w:hAnsi="仿宋" w:eastAsia="仿宋" w:cs="仿宋"/>
          <w:b/>
          <w:color w:val="auto"/>
          <w:w w:val="99"/>
          <w:kern w:val="0"/>
          <w:sz w:val="28"/>
          <w:szCs w:val="28"/>
          <w:lang w:val="zh-CN"/>
        </w:rPr>
        <w:t>基本情况表</w:t>
      </w:r>
      <w:bookmarkEnd w:id="366"/>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520DB0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09CA1CB">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投标人名称</w:t>
            </w:r>
          </w:p>
        </w:tc>
        <w:tc>
          <w:tcPr>
            <w:tcW w:w="7308" w:type="dxa"/>
            <w:gridSpan w:val="9"/>
            <w:vAlign w:val="center"/>
          </w:tcPr>
          <w:p w14:paraId="03F7BCAB">
            <w:pPr>
              <w:spacing w:line="500" w:lineRule="exact"/>
              <w:jc w:val="center"/>
              <w:rPr>
                <w:rFonts w:hint="eastAsia" w:ascii="宋体" w:hAnsi="宋体" w:cs="宋体"/>
                <w:color w:val="auto"/>
                <w:kern w:val="0"/>
                <w:sz w:val="21"/>
                <w:szCs w:val="21"/>
              </w:rPr>
            </w:pPr>
          </w:p>
        </w:tc>
      </w:tr>
      <w:tr w14:paraId="6FEC06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72346548">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注册地址</w:t>
            </w:r>
          </w:p>
        </w:tc>
        <w:tc>
          <w:tcPr>
            <w:tcW w:w="3165" w:type="dxa"/>
            <w:gridSpan w:val="5"/>
            <w:vAlign w:val="center"/>
          </w:tcPr>
          <w:p w14:paraId="5F1E7882">
            <w:pPr>
              <w:spacing w:line="500" w:lineRule="exact"/>
              <w:jc w:val="center"/>
              <w:rPr>
                <w:rFonts w:hint="eastAsia" w:ascii="宋体" w:hAnsi="宋体" w:cs="宋体"/>
                <w:color w:val="auto"/>
                <w:kern w:val="0"/>
                <w:sz w:val="21"/>
                <w:szCs w:val="21"/>
              </w:rPr>
            </w:pPr>
          </w:p>
        </w:tc>
        <w:tc>
          <w:tcPr>
            <w:tcW w:w="1319" w:type="dxa"/>
            <w:vAlign w:val="center"/>
          </w:tcPr>
          <w:p w14:paraId="2F020F16">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邮政编码</w:t>
            </w:r>
          </w:p>
        </w:tc>
        <w:tc>
          <w:tcPr>
            <w:tcW w:w="2824" w:type="dxa"/>
            <w:gridSpan w:val="3"/>
            <w:vAlign w:val="center"/>
          </w:tcPr>
          <w:p w14:paraId="7D097C21">
            <w:pPr>
              <w:spacing w:line="500" w:lineRule="exact"/>
              <w:jc w:val="center"/>
              <w:rPr>
                <w:rFonts w:hint="eastAsia" w:ascii="宋体" w:hAnsi="宋体" w:cs="宋体"/>
                <w:color w:val="auto"/>
                <w:kern w:val="0"/>
                <w:sz w:val="21"/>
                <w:szCs w:val="21"/>
              </w:rPr>
            </w:pPr>
          </w:p>
        </w:tc>
      </w:tr>
      <w:tr w14:paraId="1BF6D6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4CC56110">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联系方式</w:t>
            </w:r>
          </w:p>
        </w:tc>
        <w:tc>
          <w:tcPr>
            <w:tcW w:w="1080" w:type="dxa"/>
            <w:gridSpan w:val="2"/>
            <w:vAlign w:val="center"/>
          </w:tcPr>
          <w:p w14:paraId="4B29820C">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联系人</w:t>
            </w:r>
          </w:p>
        </w:tc>
        <w:tc>
          <w:tcPr>
            <w:tcW w:w="2077" w:type="dxa"/>
            <w:gridSpan w:val="2"/>
            <w:vAlign w:val="center"/>
          </w:tcPr>
          <w:p w14:paraId="126EDB08">
            <w:pPr>
              <w:spacing w:line="500" w:lineRule="exact"/>
              <w:jc w:val="center"/>
              <w:rPr>
                <w:rFonts w:hint="eastAsia" w:ascii="宋体" w:hAnsi="宋体" w:cs="宋体"/>
                <w:color w:val="auto"/>
                <w:kern w:val="0"/>
                <w:sz w:val="21"/>
                <w:szCs w:val="21"/>
              </w:rPr>
            </w:pPr>
          </w:p>
        </w:tc>
        <w:tc>
          <w:tcPr>
            <w:tcW w:w="1327" w:type="dxa"/>
            <w:gridSpan w:val="2"/>
            <w:vAlign w:val="center"/>
          </w:tcPr>
          <w:p w14:paraId="41D57F1F">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电话</w:t>
            </w:r>
          </w:p>
        </w:tc>
        <w:tc>
          <w:tcPr>
            <w:tcW w:w="2824" w:type="dxa"/>
            <w:gridSpan w:val="3"/>
            <w:vAlign w:val="center"/>
          </w:tcPr>
          <w:p w14:paraId="367AB176">
            <w:pPr>
              <w:spacing w:line="500" w:lineRule="exact"/>
              <w:jc w:val="center"/>
              <w:rPr>
                <w:rFonts w:hint="eastAsia" w:ascii="宋体" w:hAnsi="宋体" w:cs="宋体"/>
                <w:color w:val="auto"/>
                <w:kern w:val="0"/>
                <w:sz w:val="21"/>
                <w:szCs w:val="21"/>
              </w:rPr>
            </w:pPr>
          </w:p>
        </w:tc>
      </w:tr>
      <w:tr w14:paraId="7C9304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6793D0DF">
            <w:pPr>
              <w:spacing w:line="500" w:lineRule="exact"/>
              <w:jc w:val="center"/>
              <w:rPr>
                <w:rFonts w:hint="eastAsia" w:ascii="宋体" w:hAnsi="宋体" w:cs="宋体"/>
                <w:color w:val="auto"/>
                <w:kern w:val="0"/>
                <w:sz w:val="21"/>
                <w:szCs w:val="21"/>
              </w:rPr>
            </w:pPr>
          </w:p>
        </w:tc>
        <w:tc>
          <w:tcPr>
            <w:tcW w:w="1080" w:type="dxa"/>
            <w:gridSpan w:val="2"/>
            <w:vAlign w:val="center"/>
          </w:tcPr>
          <w:p w14:paraId="2CC0EFAD">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传真</w:t>
            </w:r>
          </w:p>
        </w:tc>
        <w:tc>
          <w:tcPr>
            <w:tcW w:w="2077" w:type="dxa"/>
            <w:gridSpan w:val="2"/>
            <w:vAlign w:val="center"/>
          </w:tcPr>
          <w:p w14:paraId="00B79293">
            <w:pPr>
              <w:spacing w:line="500" w:lineRule="exact"/>
              <w:jc w:val="center"/>
              <w:rPr>
                <w:rFonts w:hint="eastAsia" w:ascii="宋体" w:hAnsi="宋体" w:cs="宋体"/>
                <w:color w:val="auto"/>
                <w:kern w:val="0"/>
                <w:sz w:val="21"/>
                <w:szCs w:val="21"/>
              </w:rPr>
            </w:pPr>
          </w:p>
        </w:tc>
        <w:tc>
          <w:tcPr>
            <w:tcW w:w="1327" w:type="dxa"/>
            <w:gridSpan w:val="2"/>
            <w:vAlign w:val="center"/>
          </w:tcPr>
          <w:p w14:paraId="1D7EB2E6">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网址</w:t>
            </w:r>
          </w:p>
        </w:tc>
        <w:tc>
          <w:tcPr>
            <w:tcW w:w="2824" w:type="dxa"/>
            <w:gridSpan w:val="3"/>
            <w:vAlign w:val="center"/>
          </w:tcPr>
          <w:p w14:paraId="20A1DC74">
            <w:pPr>
              <w:spacing w:line="500" w:lineRule="exact"/>
              <w:jc w:val="center"/>
              <w:rPr>
                <w:rFonts w:hint="eastAsia" w:ascii="宋体" w:hAnsi="宋体" w:cs="宋体"/>
                <w:color w:val="auto"/>
                <w:kern w:val="0"/>
                <w:sz w:val="21"/>
                <w:szCs w:val="21"/>
              </w:rPr>
            </w:pPr>
          </w:p>
        </w:tc>
      </w:tr>
      <w:tr w14:paraId="10A042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2F17E77B">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组织结构</w:t>
            </w:r>
          </w:p>
        </w:tc>
        <w:tc>
          <w:tcPr>
            <w:tcW w:w="7308" w:type="dxa"/>
            <w:gridSpan w:val="9"/>
            <w:vAlign w:val="center"/>
          </w:tcPr>
          <w:p w14:paraId="43182716">
            <w:pPr>
              <w:spacing w:line="500" w:lineRule="exact"/>
              <w:jc w:val="center"/>
              <w:rPr>
                <w:rFonts w:hint="eastAsia" w:ascii="宋体" w:hAnsi="宋体" w:cs="宋体"/>
                <w:color w:val="auto"/>
                <w:kern w:val="0"/>
                <w:sz w:val="21"/>
                <w:szCs w:val="21"/>
              </w:rPr>
            </w:pPr>
          </w:p>
        </w:tc>
      </w:tr>
      <w:tr w14:paraId="510EFC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6F30453B">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法定代表人</w:t>
            </w:r>
          </w:p>
        </w:tc>
        <w:tc>
          <w:tcPr>
            <w:tcW w:w="696" w:type="dxa"/>
            <w:vAlign w:val="center"/>
          </w:tcPr>
          <w:p w14:paraId="29DCEB8F">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姓名</w:t>
            </w:r>
          </w:p>
        </w:tc>
        <w:tc>
          <w:tcPr>
            <w:tcW w:w="1284" w:type="dxa"/>
            <w:gridSpan w:val="2"/>
            <w:vAlign w:val="center"/>
          </w:tcPr>
          <w:p w14:paraId="1B45A1FF">
            <w:pPr>
              <w:spacing w:line="500" w:lineRule="exact"/>
              <w:jc w:val="center"/>
              <w:rPr>
                <w:rFonts w:hint="eastAsia" w:ascii="宋体" w:hAnsi="宋体" w:cs="宋体"/>
                <w:color w:val="auto"/>
                <w:kern w:val="0"/>
                <w:sz w:val="21"/>
                <w:szCs w:val="21"/>
              </w:rPr>
            </w:pPr>
          </w:p>
        </w:tc>
        <w:tc>
          <w:tcPr>
            <w:tcW w:w="1177" w:type="dxa"/>
            <w:vAlign w:val="center"/>
          </w:tcPr>
          <w:p w14:paraId="59646D55">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技术职称</w:t>
            </w:r>
          </w:p>
        </w:tc>
        <w:tc>
          <w:tcPr>
            <w:tcW w:w="1327" w:type="dxa"/>
            <w:gridSpan w:val="2"/>
            <w:vAlign w:val="center"/>
          </w:tcPr>
          <w:p w14:paraId="7CC32A78">
            <w:pPr>
              <w:spacing w:line="500" w:lineRule="exact"/>
              <w:jc w:val="center"/>
              <w:rPr>
                <w:rFonts w:hint="eastAsia" w:ascii="宋体" w:hAnsi="宋体" w:cs="宋体"/>
                <w:color w:val="auto"/>
                <w:kern w:val="0"/>
                <w:sz w:val="21"/>
                <w:szCs w:val="21"/>
              </w:rPr>
            </w:pPr>
          </w:p>
        </w:tc>
        <w:tc>
          <w:tcPr>
            <w:tcW w:w="1173" w:type="dxa"/>
            <w:gridSpan w:val="2"/>
            <w:vAlign w:val="center"/>
          </w:tcPr>
          <w:p w14:paraId="66414091">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电话</w:t>
            </w:r>
          </w:p>
        </w:tc>
        <w:tc>
          <w:tcPr>
            <w:tcW w:w="1651" w:type="dxa"/>
            <w:vAlign w:val="center"/>
          </w:tcPr>
          <w:p w14:paraId="7056E7FE">
            <w:pPr>
              <w:spacing w:line="500" w:lineRule="exact"/>
              <w:jc w:val="center"/>
              <w:rPr>
                <w:rFonts w:hint="eastAsia" w:ascii="宋体" w:hAnsi="宋体" w:cs="宋体"/>
                <w:b/>
                <w:bCs/>
                <w:color w:val="auto"/>
                <w:kern w:val="0"/>
                <w:sz w:val="21"/>
                <w:szCs w:val="21"/>
              </w:rPr>
            </w:pPr>
          </w:p>
        </w:tc>
      </w:tr>
      <w:tr w14:paraId="00B97E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46E6683D">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技术负责人</w:t>
            </w:r>
          </w:p>
        </w:tc>
        <w:tc>
          <w:tcPr>
            <w:tcW w:w="696" w:type="dxa"/>
            <w:vAlign w:val="center"/>
          </w:tcPr>
          <w:p w14:paraId="1039B6A4">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姓名</w:t>
            </w:r>
          </w:p>
        </w:tc>
        <w:tc>
          <w:tcPr>
            <w:tcW w:w="1284" w:type="dxa"/>
            <w:gridSpan w:val="2"/>
            <w:vAlign w:val="center"/>
          </w:tcPr>
          <w:p w14:paraId="11207A30">
            <w:pPr>
              <w:spacing w:line="500" w:lineRule="exact"/>
              <w:jc w:val="center"/>
              <w:rPr>
                <w:rFonts w:hint="eastAsia" w:ascii="宋体" w:hAnsi="宋体" w:cs="宋体"/>
                <w:color w:val="auto"/>
                <w:kern w:val="0"/>
                <w:sz w:val="21"/>
                <w:szCs w:val="21"/>
              </w:rPr>
            </w:pPr>
          </w:p>
        </w:tc>
        <w:tc>
          <w:tcPr>
            <w:tcW w:w="1177" w:type="dxa"/>
            <w:vAlign w:val="center"/>
          </w:tcPr>
          <w:p w14:paraId="25FC374A">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技术职称</w:t>
            </w:r>
          </w:p>
        </w:tc>
        <w:tc>
          <w:tcPr>
            <w:tcW w:w="1327" w:type="dxa"/>
            <w:gridSpan w:val="2"/>
            <w:vAlign w:val="center"/>
          </w:tcPr>
          <w:p w14:paraId="57E1E008">
            <w:pPr>
              <w:spacing w:line="500" w:lineRule="exact"/>
              <w:jc w:val="center"/>
              <w:rPr>
                <w:rFonts w:hint="eastAsia" w:ascii="宋体" w:hAnsi="宋体" w:cs="宋体"/>
                <w:color w:val="auto"/>
                <w:kern w:val="0"/>
                <w:sz w:val="21"/>
                <w:szCs w:val="21"/>
              </w:rPr>
            </w:pPr>
          </w:p>
        </w:tc>
        <w:tc>
          <w:tcPr>
            <w:tcW w:w="1173" w:type="dxa"/>
            <w:gridSpan w:val="2"/>
            <w:vAlign w:val="center"/>
          </w:tcPr>
          <w:p w14:paraId="0F5C7E0F">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电话</w:t>
            </w:r>
          </w:p>
        </w:tc>
        <w:tc>
          <w:tcPr>
            <w:tcW w:w="1651" w:type="dxa"/>
            <w:vAlign w:val="center"/>
          </w:tcPr>
          <w:p w14:paraId="6A5CAF2F">
            <w:pPr>
              <w:spacing w:line="500" w:lineRule="exact"/>
              <w:jc w:val="center"/>
              <w:rPr>
                <w:rFonts w:hint="eastAsia" w:ascii="宋体" w:hAnsi="宋体" w:cs="宋体"/>
                <w:b/>
                <w:bCs/>
                <w:color w:val="auto"/>
                <w:kern w:val="0"/>
                <w:sz w:val="21"/>
                <w:szCs w:val="21"/>
              </w:rPr>
            </w:pPr>
          </w:p>
        </w:tc>
      </w:tr>
      <w:tr w14:paraId="08E106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739F22B">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成立时间</w:t>
            </w:r>
          </w:p>
        </w:tc>
        <w:tc>
          <w:tcPr>
            <w:tcW w:w="1980" w:type="dxa"/>
            <w:gridSpan w:val="3"/>
            <w:vAlign w:val="center"/>
          </w:tcPr>
          <w:p w14:paraId="350C45DF">
            <w:pPr>
              <w:spacing w:line="500" w:lineRule="exact"/>
              <w:jc w:val="center"/>
              <w:rPr>
                <w:rFonts w:hint="eastAsia" w:ascii="宋体" w:hAnsi="宋体" w:cs="宋体"/>
                <w:color w:val="auto"/>
                <w:kern w:val="0"/>
                <w:sz w:val="21"/>
                <w:szCs w:val="21"/>
              </w:rPr>
            </w:pPr>
          </w:p>
        </w:tc>
        <w:tc>
          <w:tcPr>
            <w:tcW w:w="5328" w:type="dxa"/>
            <w:gridSpan w:val="6"/>
            <w:vAlign w:val="center"/>
          </w:tcPr>
          <w:p w14:paraId="32E150AF">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员工总人数：</w:t>
            </w:r>
          </w:p>
        </w:tc>
      </w:tr>
      <w:tr w14:paraId="083DB6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BCE5C95">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企业资质等级</w:t>
            </w:r>
          </w:p>
        </w:tc>
        <w:tc>
          <w:tcPr>
            <w:tcW w:w="1980" w:type="dxa"/>
            <w:gridSpan w:val="3"/>
            <w:vAlign w:val="center"/>
          </w:tcPr>
          <w:p w14:paraId="76C29ADD">
            <w:pPr>
              <w:spacing w:line="500" w:lineRule="exact"/>
              <w:jc w:val="center"/>
              <w:rPr>
                <w:rFonts w:hint="eastAsia" w:ascii="宋体" w:hAnsi="宋体" w:cs="宋体"/>
                <w:color w:val="auto"/>
                <w:kern w:val="0"/>
                <w:sz w:val="21"/>
                <w:szCs w:val="21"/>
              </w:rPr>
            </w:pPr>
          </w:p>
        </w:tc>
        <w:tc>
          <w:tcPr>
            <w:tcW w:w="1177" w:type="dxa"/>
            <w:vMerge w:val="restart"/>
            <w:vAlign w:val="center"/>
          </w:tcPr>
          <w:p w14:paraId="22BC0F37">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其中</w:t>
            </w:r>
          </w:p>
        </w:tc>
        <w:tc>
          <w:tcPr>
            <w:tcW w:w="1883" w:type="dxa"/>
            <w:gridSpan w:val="3"/>
            <w:vAlign w:val="center"/>
          </w:tcPr>
          <w:p w14:paraId="23A07F6F">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项目经理</w:t>
            </w:r>
          </w:p>
        </w:tc>
        <w:tc>
          <w:tcPr>
            <w:tcW w:w="2268" w:type="dxa"/>
            <w:gridSpan w:val="2"/>
            <w:vAlign w:val="center"/>
          </w:tcPr>
          <w:p w14:paraId="5F457F9E">
            <w:pPr>
              <w:spacing w:line="500" w:lineRule="exact"/>
              <w:jc w:val="center"/>
              <w:rPr>
                <w:rFonts w:hint="eastAsia" w:ascii="宋体" w:hAnsi="宋体" w:cs="宋体"/>
                <w:b/>
                <w:bCs/>
                <w:color w:val="auto"/>
                <w:kern w:val="0"/>
                <w:sz w:val="21"/>
                <w:szCs w:val="21"/>
              </w:rPr>
            </w:pPr>
          </w:p>
        </w:tc>
      </w:tr>
      <w:tr w14:paraId="04FFB1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28A62E2">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营业执照号</w:t>
            </w:r>
          </w:p>
        </w:tc>
        <w:tc>
          <w:tcPr>
            <w:tcW w:w="1980" w:type="dxa"/>
            <w:gridSpan w:val="3"/>
            <w:vAlign w:val="center"/>
          </w:tcPr>
          <w:p w14:paraId="5200420E">
            <w:pPr>
              <w:spacing w:line="500" w:lineRule="exact"/>
              <w:jc w:val="center"/>
              <w:rPr>
                <w:rFonts w:hint="eastAsia" w:ascii="宋体" w:hAnsi="宋体" w:cs="宋体"/>
                <w:color w:val="auto"/>
                <w:kern w:val="0"/>
                <w:sz w:val="21"/>
                <w:szCs w:val="21"/>
              </w:rPr>
            </w:pPr>
          </w:p>
        </w:tc>
        <w:tc>
          <w:tcPr>
            <w:tcW w:w="1177" w:type="dxa"/>
            <w:vMerge w:val="continue"/>
            <w:vAlign w:val="center"/>
          </w:tcPr>
          <w:p w14:paraId="6EF2F7A3">
            <w:pPr>
              <w:spacing w:line="500" w:lineRule="exact"/>
              <w:jc w:val="center"/>
              <w:rPr>
                <w:rFonts w:hint="eastAsia" w:ascii="宋体" w:hAnsi="宋体" w:cs="宋体"/>
                <w:color w:val="auto"/>
                <w:kern w:val="0"/>
                <w:sz w:val="21"/>
                <w:szCs w:val="21"/>
              </w:rPr>
            </w:pPr>
          </w:p>
        </w:tc>
        <w:tc>
          <w:tcPr>
            <w:tcW w:w="1883" w:type="dxa"/>
            <w:gridSpan w:val="3"/>
            <w:vAlign w:val="center"/>
          </w:tcPr>
          <w:p w14:paraId="7A131F46">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高级职称人员</w:t>
            </w:r>
          </w:p>
        </w:tc>
        <w:tc>
          <w:tcPr>
            <w:tcW w:w="2268" w:type="dxa"/>
            <w:gridSpan w:val="2"/>
            <w:vAlign w:val="center"/>
          </w:tcPr>
          <w:p w14:paraId="4AA3B265">
            <w:pPr>
              <w:spacing w:line="500" w:lineRule="exact"/>
              <w:jc w:val="center"/>
              <w:rPr>
                <w:rFonts w:hint="eastAsia" w:ascii="宋体" w:hAnsi="宋体" w:cs="宋体"/>
                <w:b/>
                <w:bCs/>
                <w:color w:val="auto"/>
                <w:kern w:val="0"/>
                <w:sz w:val="21"/>
                <w:szCs w:val="21"/>
              </w:rPr>
            </w:pPr>
          </w:p>
        </w:tc>
      </w:tr>
      <w:tr w14:paraId="0A4361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03CAEB6">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注册资金</w:t>
            </w:r>
          </w:p>
        </w:tc>
        <w:tc>
          <w:tcPr>
            <w:tcW w:w="1980" w:type="dxa"/>
            <w:gridSpan w:val="3"/>
            <w:vAlign w:val="center"/>
          </w:tcPr>
          <w:p w14:paraId="13077222">
            <w:pPr>
              <w:spacing w:line="500" w:lineRule="exact"/>
              <w:jc w:val="center"/>
              <w:rPr>
                <w:rFonts w:hint="eastAsia" w:ascii="宋体" w:hAnsi="宋体" w:cs="宋体"/>
                <w:color w:val="auto"/>
                <w:kern w:val="0"/>
                <w:sz w:val="21"/>
                <w:szCs w:val="21"/>
              </w:rPr>
            </w:pPr>
          </w:p>
        </w:tc>
        <w:tc>
          <w:tcPr>
            <w:tcW w:w="1177" w:type="dxa"/>
            <w:vMerge w:val="continue"/>
            <w:vAlign w:val="center"/>
          </w:tcPr>
          <w:p w14:paraId="1FB2390D">
            <w:pPr>
              <w:spacing w:line="500" w:lineRule="exact"/>
              <w:jc w:val="center"/>
              <w:rPr>
                <w:rFonts w:hint="eastAsia" w:ascii="宋体" w:hAnsi="宋体" w:cs="宋体"/>
                <w:color w:val="auto"/>
                <w:kern w:val="0"/>
                <w:sz w:val="21"/>
                <w:szCs w:val="21"/>
              </w:rPr>
            </w:pPr>
          </w:p>
        </w:tc>
        <w:tc>
          <w:tcPr>
            <w:tcW w:w="1883" w:type="dxa"/>
            <w:gridSpan w:val="3"/>
            <w:vAlign w:val="center"/>
          </w:tcPr>
          <w:p w14:paraId="13437221">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中级职称人员</w:t>
            </w:r>
          </w:p>
        </w:tc>
        <w:tc>
          <w:tcPr>
            <w:tcW w:w="2268" w:type="dxa"/>
            <w:gridSpan w:val="2"/>
            <w:vAlign w:val="center"/>
          </w:tcPr>
          <w:p w14:paraId="1D7E1DA1">
            <w:pPr>
              <w:spacing w:line="500" w:lineRule="exact"/>
              <w:jc w:val="center"/>
              <w:rPr>
                <w:rFonts w:hint="eastAsia" w:ascii="宋体" w:hAnsi="宋体" w:cs="宋体"/>
                <w:b/>
                <w:bCs/>
                <w:color w:val="auto"/>
                <w:kern w:val="0"/>
                <w:sz w:val="21"/>
                <w:szCs w:val="21"/>
              </w:rPr>
            </w:pPr>
          </w:p>
        </w:tc>
      </w:tr>
      <w:tr w14:paraId="611FD5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5FEB9A4">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开户银行</w:t>
            </w:r>
          </w:p>
        </w:tc>
        <w:tc>
          <w:tcPr>
            <w:tcW w:w="1980" w:type="dxa"/>
            <w:gridSpan w:val="3"/>
            <w:vAlign w:val="center"/>
          </w:tcPr>
          <w:p w14:paraId="2824B740">
            <w:pPr>
              <w:spacing w:line="500" w:lineRule="exact"/>
              <w:jc w:val="center"/>
              <w:rPr>
                <w:rFonts w:hint="eastAsia" w:ascii="宋体" w:hAnsi="宋体" w:cs="宋体"/>
                <w:color w:val="auto"/>
                <w:kern w:val="0"/>
                <w:sz w:val="21"/>
                <w:szCs w:val="21"/>
              </w:rPr>
            </w:pPr>
          </w:p>
        </w:tc>
        <w:tc>
          <w:tcPr>
            <w:tcW w:w="1177" w:type="dxa"/>
            <w:vMerge w:val="continue"/>
            <w:vAlign w:val="center"/>
          </w:tcPr>
          <w:p w14:paraId="2396D098">
            <w:pPr>
              <w:spacing w:line="500" w:lineRule="exact"/>
              <w:jc w:val="center"/>
              <w:rPr>
                <w:rFonts w:hint="eastAsia" w:ascii="宋体" w:hAnsi="宋体" w:cs="宋体"/>
                <w:color w:val="auto"/>
                <w:kern w:val="0"/>
                <w:sz w:val="21"/>
                <w:szCs w:val="21"/>
              </w:rPr>
            </w:pPr>
          </w:p>
        </w:tc>
        <w:tc>
          <w:tcPr>
            <w:tcW w:w="1883" w:type="dxa"/>
            <w:gridSpan w:val="3"/>
            <w:vAlign w:val="center"/>
          </w:tcPr>
          <w:p w14:paraId="6BCD0F7D">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初级职称人员</w:t>
            </w:r>
          </w:p>
        </w:tc>
        <w:tc>
          <w:tcPr>
            <w:tcW w:w="2268" w:type="dxa"/>
            <w:gridSpan w:val="2"/>
            <w:vAlign w:val="center"/>
          </w:tcPr>
          <w:p w14:paraId="34D8180F">
            <w:pPr>
              <w:spacing w:line="500" w:lineRule="exact"/>
              <w:jc w:val="center"/>
              <w:rPr>
                <w:rFonts w:hint="eastAsia" w:ascii="宋体" w:hAnsi="宋体" w:cs="宋体"/>
                <w:b/>
                <w:bCs/>
                <w:color w:val="auto"/>
                <w:kern w:val="0"/>
                <w:sz w:val="21"/>
                <w:szCs w:val="21"/>
              </w:rPr>
            </w:pPr>
          </w:p>
        </w:tc>
      </w:tr>
      <w:tr w14:paraId="0E49A1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1D594DCC">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账号</w:t>
            </w:r>
          </w:p>
        </w:tc>
        <w:tc>
          <w:tcPr>
            <w:tcW w:w="1980" w:type="dxa"/>
            <w:gridSpan w:val="3"/>
            <w:vAlign w:val="center"/>
          </w:tcPr>
          <w:p w14:paraId="060A536B">
            <w:pPr>
              <w:spacing w:line="500" w:lineRule="exact"/>
              <w:jc w:val="center"/>
              <w:rPr>
                <w:rFonts w:hint="eastAsia" w:ascii="宋体" w:hAnsi="宋体" w:cs="宋体"/>
                <w:color w:val="auto"/>
                <w:kern w:val="0"/>
                <w:sz w:val="21"/>
                <w:szCs w:val="21"/>
              </w:rPr>
            </w:pPr>
          </w:p>
        </w:tc>
        <w:tc>
          <w:tcPr>
            <w:tcW w:w="1177" w:type="dxa"/>
            <w:vMerge w:val="continue"/>
            <w:vAlign w:val="center"/>
          </w:tcPr>
          <w:p w14:paraId="552EEE36">
            <w:pPr>
              <w:spacing w:line="500" w:lineRule="exact"/>
              <w:jc w:val="center"/>
              <w:rPr>
                <w:rFonts w:hint="eastAsia" w:ascii="宋体" w:hAnsi="宋体" w:cs="宋体"/>
                <w:color w:val="auto"/>
                <w:kern w:val="0"/>
                <w:sz w:val="21"/>
                <w:szCs w:val="21"/>
              </w:rPr>
            </w:pPr>
          </w:p>
        </w:tc>
        <w:tc>
          <w:tcPr>
            <w:tcW w:w="1883" w:type="dxa"/>
            <w:gridSpan w:val="3"/>
            <w:vAlign w:val="center"/>
          </w:tcPr>
          <w:p w14:paraId="04756C41">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技工</w:t>
            </w:r>
          </w:p>
        </w:tc>
        <w:tc>
          <w:tcPr>
            <w:tcW w:w="2268" w:type="dxa"/>
            <w:gridSpan w:val="2"/>
            <w:vAlign w:val="center"/>
          </w:tcPr>
          <w:p w14:paraId="27C6BCE7">
            <w:pPr>
              <w:spacing w:line="500" w:lineRule="exact"/>
              <w:jc w:val="center"/>
              <w:rPr>
                <w:rFonts w:hint="eastAsia" w:ascii="宋体" w:hAnsi="宋体" w:cs="宋体"/>
                <w:b/>
                <w:bCs/>
                <w:color w:val="auto"/>
                <w:kern w:val="0"/>
                <w:sz w:val="21"/>
                <w:szCs w:val="21"/>
              </w:rPr>
            </w:pPr>
          </w:p>
        </w:tc>
      </w:tr>
      <w:tr w14:paraId="561D62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39CEB5DD">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经营范围</w:t>
            </w:r>
          </w:p>
        </w:tc>
        <w:tc>
          <w:tcPr>
            <w:tcW w:w="7308" w:type="dxa"/>
            <w:gridSpan w:val="9"/>
            <w:vAlign w:val="center"/>
          </w:tcPr>
          <w:p w14:paraId="4A23AFD5">
            <w:pPr>
              <w:spacing w:line="500" w:lineRule="exact"/>
              <w:jc w:val="center"/>
              <w:rPr>
                <w:rFonts w:hint="eastAsia" w:ascii="宋体" w:hAnsi="宋体" w:cs="宋体"/>
                <w:b/>
                <w:bCs/>
                <w:color w:val="auto"/>
                <w:kern w:val="0"/>
                <w:sz w:val="21"/>
                <w:szCs w:val="21"/>
              </w:rPr>
            </w:pPr>
          </w:p>
        </w:tc>
      </w:tr>
      <w:tr w14:paraId="051200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40523C8F">
            <w:pPr>
              <w:spacing w:line="50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备注</w:t>
            </w:r>
          </w:p>
        </w:tc>
        <w:tc>
          <w:tcPr>
            <w:tcW w:w="7308" w:type="dxa"/>
            <w:gridSpan w:val="9"/>
            <w:vAlign w:val="center"/>
          </w:tcPr>
          <w:p w14:paraId="2DEA0015">
            <w:pPr>
              <w:spacing w:line="500" w:lineRule="exact"/>
              <w:jc w:val="center"/>
              <w:rPr>
                <w:rFonts w:hint="eastAsia" w:ascii="宋体" w:hAnsi="宋体" w:cs="宋体"/>
                <w:color w:val="auto"/>
                <w:kern w:val="0"/>
                <w:sz w:val="21"/>
                <w:szCs w:val="21"/>
              </w:rPr>
            </w:pPr>
          </w:p>
        </w:tc>
      </w:tr>
    </w:tbl>
    <w:p w14:paraId="1E996F3C">
      <w:pPr>
        <w:spacing w:line="500" w:lineRule="exact"/>
        <w:rPr>
          <w:rFonts w:hint="eastAsia" w:asciiTheme="minorEastAsia" w:hAnsiTheme="minorEastAsia" w:eastAsiaTheme="minorEastAsia"/>
          <w:b/>
          <w:color w:val="auto"/>
          <w:szCs w:val="28"/>
        </w:rPr>
      </w:pPr>
    </w:p>
    <w:p w14:paraId="7F4D0937">
      <w:pPr>
        <w:spacing w:line="500" w:lineRule="exact"/>
        <w:rPr>
          <w:rFonts w:hint="eastAsia"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投标人名称：        （</w:t>
      </w:r>
      <w:r>
        <w:rPr>
          <w:rFonts w:hint="eastAsia" w:asciiTheme="minorEastAsia" w:hAnsiTheme="minorEastAsia" w:eastAsiaTheme="minorEastAsia"/>
          <w:bCs/>
          <w:color w:val="auto"/>
          <w:sz w:val="28"/>
          <w:szCs w:val="28"/>
          <w:lang w:val="en-US" w:eastAsia="zh-CN"/>
        </w:rPr>
        <w:t>公章</w:t>
      </w:r>
      <w:r>
        <w:rPr>
          <w:rFonts w:hint="eastAsia" w:asciiTheme="minorEastAsia" w:hAnsiTheme="minorEastAsia" w:eastAsiaTheme="minorEastAsia"/>
          <w:bCs/>
          <w:color w:val="auto"/>
          <w:sz w:val="28"/>
          <w:szCs w:val="28"/>
        </w:rPr>
        <w:t>）</w:t>
      </w:r>
    </w:p>
    <w:p w14:paraId="49677A91">
      <w:pPr>
        <w:spacing w:line="500" w:lineRule="exact"/>
        <w:rPr>
          <w:rFonts w:hint="eastAsia" w:asciiTheme="minorEastAsia" w:hAnsiTheme="minorEastAsia" w:eastAsiaTheme="minorEastAsia"/>
          <w:bCs/>
          <w:color w:val="auto"/>
          <w:sz w:val="28"/>
          <w:szCs w:val="28"/>
        </w:rPr>
      </w:pPr>
      <w:r>
        <w:rPr>
          <w:rFonts w:hint="eastAsia" w:asciiTheme="minorEastAsia" w:hAnsiTheme="minorEastAsia" w:eastAsiaTheme="minorEastAsia"/>
          <w:color w:val="auto"/>
          <w:sz w:val="28"/>
          <w:szCs w:val="28"/>
        </w:rPr>
        <w:t>法定代表人或授权代表（签字）</w:t>
      </w:r>
      <w:r>
        <w:rPr>
          <w:rFonts w:hint="eastAsia" w:asciiTheme="minorEastAsia" w:hAnsiTheme="minorEastAsia" w:eastAsiaTheme="minorEastAsia"/>
          <w:bCs/>
          <w:color w:val="auto"/>
          <w:sz w:val="28"/>
          <w:szCs w:val="28"/>
        </w:rPr>
        <w:t>：</w:t>
      </w:r>
    </w:p>
    <w:p w14:paraId="5DC09334">
      <w:pPr>
        <w:spacing w:line="500" w:lineRule="exact"/>
        <w:rPr>
          <w:rFonts w:hint="eastAsia"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投标日期:</w:t>
      </w:r>
    </w:p>
    <w:p w14:paraId="21D5E29F">
      <w:pPr>
        <w:rPr>
          <w:rFonts w:hint="eastAsia"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br w:type="page"/>
      </w:r>
    </w:p>
    <w:p w14:paraId="323DC0F6">
      <w:pPr>
        <w:spacing w:line="500" w:lineRule="exact"/>
        <w:rPr>
          <w:rFonts w:hint="eastAsia" w:asciiTheme="minorEastAsia" w:hAnsiTheme="minorEastAsia" w:eastAsiaTheme="minorEastAsia"/>
          <w:bCs/>
          <w:color w:val="auto"/>
          <w:sz w:val="28"/>
          <w:szCs w:val="28"/>
        </w:rPr>
      </w:pPr>
    </w:p>
    <w:p w14:paraId="2563AE5A">
      <w:pPr>
        <w:numPr>
          <w:ilvl w:val="0"/>
          <w:numId w:val="14"/>
        </w:numPr>
        <w:spacing w:line="500" w:lineRule="exact"/>
        <w:rPr>
          <w:rFonts w:hint="eastAsia" w:asciiTheme="minorEastAsia" w:hAnsiTheme="minorEastAsia" w:eastAsiaTheme="minorEastAsia"/>
          <w:b/>
          <w:bCs w:val="0"/>
          <w:color w:val="auto"/>
          <w:sz w:val="28"/>
          <w:szCs w:val="28"/>
        </w:rPr>
      </w:pPr>
      <w:r>
        <w:rPr>
          <w:rFonts w:asciiTheme="minorEastAsia" w:hAnsiTheme="minorEastAsia" w:eastAsiaTheme="minorEastAsia"/>
          <w:b/>
          <w:bCs w:val="0"/>
          <w:color w:val="auto"/>
          <w:sz w:val="28"/>
          <w:szCs w:val="28"/>
        </w:rPr>
        <w:t>投标人资质证明材料</w:t>
      </w:r>
    </w:p>
    <w:p w14:paraId="7C247C32">
      <w:pPr>
        <w:spacing w:line="52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营业执照</w:t>
      </w:r>
    </w:p>
    <w:p w14:paraId="1EBD91A3">
      <w:pPr>
        <w:spacing w:line="52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近三年年度财务报表（包括资产负债表、利润表和现金流量表）</w:t>
      </w:r>
    </w:p>
    <w:p w14:paraId="6988DD46">
      <w:pPr>
        <w:spacing w:line="52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近三年的年度纳税及员工社保缴纳证明</w:t>
      </w:r>
    </w:p>
    <w:p w14:paraId="429DB613">
      <w:pPr>
        <w:spacing w:line="52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近三年官网诚信证明截图</w:t>
      </w:r>
    </w:p>
    <w:p w14:paraId="375EC31B">
      <w:pPr>
        <w:spacing w:line="52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业绩证明材料</w:t>
      </w:r>
    </w:p>
    <w:p w14:paraId="496FB23B">
      <w:pPr>
        <w:spacing w:line="520" w:lineRule="exact"/>
        <w:ind w:firstLine="562" w:firstLineChars="20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特殊资格条件</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若有</w:t>
      </w:r>
      <w:r>
        <w:rPr>
          <w:rFonts w:hint="eastAsia" w:ascii="仿宋" w:hAnsi="仿宋" w:eastAsia="仿宋" w:cs="仿宋"/>
          <w:b/>
          <w:bCs/>
          <w:color w:val="auto"/>
          <w:sz w:val="28"/>
          <w:szCs w:val="28"/>
          <w:lang w:eastAsia="zh-CN"/>
        </w:rPr>
        <w:t>）</w:t>
      </w:r>
    </w:p>
    <w:p w14:paraId="5D156FF4">
      <w:pPr>
        <w:spacing w:line="52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7.具有完善的质量保证和售后服务体系。</w:t>
      </w:r>
    </w:p>
    <w:p w14:paraId="0B200EA9">
      <w:pPr>
        <w:spacing w:line="500" w:lineRule="exact"/>
        <w:ind w:firstLine="616" w:firstLineChars="257"/>
        <w:rPr>
          <w:rFonts w:hint="eastAsia" w:asciiTheme="minorEastAsia" w:hAnsiTheme="minorEastAsia" w:eastAsiaTheme="minorEastAsia"/>
          <w:color w:val="auto"/>
        </w:rPr>
      </w:pPr>
    </w:p>
    <w:p w14:paraId="77A52EB0">
      <w:pPr>
        <w:rPr>
          <w:rFonts w:ascii="仿宋" w:hAnsi="仿宋" w:eastAsia="仿宋" w:cs="仿宋"/>
          <w:b/>
          <w:color w:val="auto"/>
          <w:w w:val="99"/>
          <w:kern w:val="0"/>
          <w:sz w:val="28"/>
          <w:szCs w:val="28"/>
          <w:lang w:val="zh-CN"/>
        </w:rPr>
      </w:pPr>
      <w:bookmarkStart w:id="367" w:name="_Toc15308"/>
      <w:r>
        <w:rPr>
          <w:rFonts w:ascii="仿宋" w:hAnsi="仿宋" w:eastAsia="仿宋" w:cs="仿宋"/>
          <w:b/>
          <w:color w:val="auto"/>
          <w:w w:val="99"/>
          <w:kern w:val="0"/>
          <w:sz w:val="28"/>
          <w:szCs w:val="28"/>
          <w:lang w:val="zh-CN"/>
        </w:rPr>
        <w:br w:type="page"/>
      </w:r>
    </w:p>
    <w:p w14:paraId="747847DA">
      <w:pPr>
        <w:autoSpaceDE w:val="0"/>
        <w:autoSpaceDN w:val="0"/>
        <w:adjustRightInd w:val="0"/>
        <w:snapToGrid w:val="0"/>
        <w:spacing w:line="360" w:lineRule="auto"/>
        <w:jc w:val="left"/>
        <w:outlineLvl w:val="1"/>
        <w:rPr>
          <w:rFonts w:ascii="仿宋" w:hAnsi="仿宋" w:eastAsia="仿宋" w:cs="仿宋"/>
          <w:b/>
          <w:color w:val="auto"/>
          <w:w w:val="99"/>
          <w:kern w:val="0"/>
          <w:sz w:val="28"/>
          <w:szCs w:val="28"/>
          <w:lang w:val="zh-CN"/>
        </w:rPr>
      </w:pPr>
    </w:p>
    <w:p w14:paraId="16FCFEFD">
      <w:pPr>
        <w:autoSpaceDE w:val="0"/>
        <w:autoSpaceDN w:val="0"/>
        <w:adjustRightInd w:val="0"/>
        <w:snapToGrid w:val="0"/>
        <w:spacing w:line="360" w:lineRule="auto"/>
        <w:jc w:val="left"/>
        <w:outlineLvl w:val="1"/>
        <w:rPr>
          <w:rFonts w:ascii="仿宋" w:hAnsi="仿宋" w:eastAsia="仿宋" w:cs="仿宋"/>
          <w:b/>
          <w:color w:val="auto"/>
          <w:w w:val="99"/>
          <w:kern w:val="0"/>
          <w:sz w:val="28"/>
          <w:szCs w:val="28"/>
          <w:lang w:val="zh-CN"/>
        </w:rPr>
      </w:pPr>
      <w:r>
        <w:rPr>
          <w:rFonts w:hint="eastAsia" w:ascii="仿宋" w:hAnsi="仿宋" w:eastAsia="仿宋" w:cs="仿宋"/>
          <w:b/>
          <w:color w:val="auto"/>
          <w:w w:val="99"/>
          <w:kern w:val="0"/>
          <w:sz w:val="28"/>
          <w:szCs w:val="28"/>
          <w:lang w:val="zh-CN"/>
        </w:rPr>
        <w:t>四、响应文件</w:t>
      </w:r>
      <w:bookmarkEnd w:id="367"/>
    </w:p>
    <w:p w14:paraId="02CEFCDE">
      <w:pPr>
        <w:spacing w:line="500" w:lineRule="exact"/>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（投标人根据招标要求，重点关注评标原则进行自行编写）</w:t>
      </w:r>
    </w:p>
    <w:p w14:paraId="59C772AA">
      <w:pPr>
        <w:spacing w:line="500" w:lineRule="exact"/>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包括但不限于：</w:t>
      </w:r>
    </w:p>
    <w:p w14:paraId="5386CF6E">
      <w:pPr>
        <w:numPr>
          <w:ilvl w:val="0"/>
          <w:numId w:val="15"/>
        </w:numPr>
        <w:spacing w:line="500" w:lineRule="exac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分项报价</w:t>
      </w:r>
      <w:r>
        <w:rPr>
          <w:rFonts w:hint="eastAsia" w:ascii="仿宋" w:hAnsi="仿宋" w:eastAsia="仿宋" w:cs="仿宋"/>
          <w:b/>
          <w:bCs/>
          <w:color w:val="auto"/>
          <w:kern w:val="0"/>
          <w:sz w:val="28"/>
          <w:szCs w:val="28"/>
          <w:lang w:val="en-US" w:eastAsia="zh-CN"/>
        </w:rPr>
        <w:t>明细</w:t>
      </w:r>
      <w:r>
        <w:rPr>
          <w:rFonts w:hint="eastAsia" w:ascii="仿宋" w:hAnsi="仿宋" w:eastAsia="仿宋" w:cs="仿宋"/>
          <w:b/>
          <w:bCs/>
          <w:color w:val="auto"/>
          <w:kern w:val="0"/>
          <w:sz w:val="28"/>
          <w:szCs w:val="28"/>
        </w:rPr>
        <w:t>表</w:t>
      </w:r>
    </w:p>
    <w:p w14:paraId="07C40597">
      <w:pPr>
        <w:widowControl/>
        <w:spacing w:line="520" w:lineRule="exact"/>
        <w:jc w:val="left"/>
        <w:rPr>
          <w:rFonts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lang w:val="en-US" w:eastAsia="zh-CN"/>
        </w:rPr>
        <w:t>1.</w:t>
      </w:r>
      <w:r>
        <w:rPr>
          <w:rFonts w:hint="eastAsia" w:ascii="Times New Roman" w:hAnsi="Times New Roman" w:eastAsia="方正黑体_GBK" w:cs="Times New Roman"/>
          <w:bCs/>
          <w:color w:val="auto"/>
          <w:sz w:val="32"/>
          <w:szCs w:val="32"/>
        </w:rPr>
        <w:t>智能车实验室建设采购清单</w:t>
      </w:r>
    </w:p>
    <w:tbl>
      <w:tblPr>
        <w:tblStyle w:val="43"/>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798"/>
        <w:gridCol w:w="830"/>
        <w:gridCol w:w="2437"/>
        <w:gridCol w:w="700"/>
        <w:gridCol w:w="754"/>
        <w:gridCol w:w="1065"/>
        <w:gridCol w:w="1048"/>
      </w:tblGrid>
      <w:tr w14:paraId="5DC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486FFDF">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417" w:type="dxa"/>
            <w:vAlign w:val="center"/>
          </w:tcPr>
          <w:p w14:paraId="78448575">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名称</w:t>
            </w:r>
          </w:p>
        </w:tc>
        <w:tc>
          <w:tcPr>
            <w:tcW w:w="798" w:type="dxa"/>
            <w:vAlign w:val="center"/>
          </w:tcPr>
          <w:p w14:paraId="4D6B1ACA">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品牌</w:t>
            </w:r>
          </w:p>
        </w:tc>
        <w:tc>
          <w:tcPr>
            <w:tcW w:w="830" w:type="dxa"/>
            <w:vAlign w:val="center"/>
          </w:tcPr>
          <w:p w14:paraId="0121F93E">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型号</w:t>
            </w:r>
          </w:p>
        </w:tc>
        <w:tc>
          <w:tcPr>
            <w:tcW w:w="2437" w:type="dxa"/>
            <w:vAlign w:val="center"/>
          </w:tcPr>
          <w:p w14:paraId="1CAE11A0">
            <w:pPr>
              <w:spacing w:line="40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功能参数</w:t>
            </w:r>
          </w:p>
        </w:tc>
        <w:tc>
          <w:tcPr>
            <w:tcW w:w="700" w:type="dxa"/>
            <w:vAlign w:val="center"/>
          </w:tcPr>
          <w:p w14:paraId="4C14551A">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单位</w:t>
            </w:r>
          </w:p>
        </w:tc>
        <w:tc>
          <w:tcPr>
            <w:tcW w:w="754" w:type="dxa"/>
            <w:vAlign w:val="center"/>
          </w:tcPr>
          <w:p w14:paraId="3B888B20">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数量</w:t>
            </w:r>
          </w:p>
        </w:tc>
        <w:tc>
          <w:tcPr>
            <w:tcW w:w="1065" w:type="dxa"/>
            <w:vAlign w:val="center"/>
          </w:tcPr>
          <w:p w14:paraId="5D715DE5">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单价(元)</w:t>
            </w:r>
          </w:p>
        </w:tc>
        <w:tc>
          <w:tcPr>
            <w:tcW w:w="1048" w:type="dxa"/>
            <w:vAlign w:val="center"/>
          </w:tcPr>
          <w:p w14:paraId="434E1C60">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合计(元)</w:t>
            </w:r>
          </w:p>
        </w:tc>
      </w:tr>
      <w:tr w14:paraId="222D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DD7CC4D">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w:t>
            </w:r>
          </w:p>
        </w:tc>
        <w:tc>
          <w:tcPr>
            <w:tcW w:w="1417" w:type="dxa"/>
            <w:vAlign w:val="center"/>
          </w:tcPr>
          <w:p w14:paraId="23B6ADA5">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入门级智能车</w:t>
            </w:r>
          </w:p>
        </w:tc>
        <w:tc>
          <w:tcPr>
            <w:tcW w:w="798" w:type="dxa"/>
            <w:vAlign w:val="center"/>
          </w:tcPr>
          <w:p w14:paraId="68E5774F">
            <w:pPr>
              <w:spacing w:line="400" w:lineRule="exact"/>
              <w:jc w:val="center"/>
              <w:rPr>
                <w:rFonts w:ascii="Times New Roman" w:hAnsi="Times New Roman" w:eastAsia="方正仿宋_GBK" w:cs="Times New Roman"/>
                <w:color w:val="auto"/>
                <w:sz w:val="28"/>
                <w:szCs w:val="28"/>
              </w:rPr>
            </w:pPr>
          </w:p>
        </w:tc>
        <w:tc>
          <w:tcPr>
            <w:tcW w:w="830" w:type="dxa"/>
            <w:vAlign w:val="center"/>
          </w:tcPr>
          <w:p w14:paraId="103D0D21">
            <w:pPr>
              <w:spacing w:line="400" w:lineRule="exact"/>
              <w:jc w:val="center"/>
              <w:rPr>
                <w:rFonts w:ascii="Times New Roman" w:hAnsi="Times New Roman" w:eastAsia="方正仿宋_GBK" w:cs="Times New Roman"/>
                <w:color w:val="auto"/>
                <w:sz w:val="28"/>
                <w:szCs w:val="28"/>
              </w:rPr>
            </w:pPr>
          </w:p>
        </w:tc>
        <w:tc>
          <w:tcPr>
            <w:tcW w:w="2437" w:type="dxa"/>
            <w:vAlign w:val="center"/>
          </w:tcPr>
          <w:p w14:paraId="4EF5F9B5">
            <w:pPr>
              <w:spacing w:line="400" w:lineRule="exact"/>
              <w:rPr>
                <w:rFonts w:ascii="Times New Roman" w:hAnsi="Times New Roman" w:eastAsia="方正仿宋_GBK" w:cs="Times New Roman"/>
                <w:color w:val="auto"/>
                <w:sz w:val="28"/>
                <w:szCs w:val="28"/>
              </w:rPr>
            </w:pPr>
          </w:p>
        </w:tc>
        <w:tc>
          <w:tcPr>
            <w:tcW w:w="700" w:type="dxa"/>
            <w:vAlign w:val="center"/>
          </w:tcPr>
          <w:p w14:paraId="6F67DC87">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台</w:t>
            </w:r>
          </w:p>
        </w:tc>
        <w:tc>
          <w:tcPr>
            <w:tcW w:w="754" w:type="dxa"/>
            <w:vAlign w:val="center"/>
          </w:tcPr>
          <w:p w14:paraId="26FBCF43">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15</w:t>
            </w:r>
          </w:p>
        </w:tc>
        <w:tc>
          <w:tcPr>
            <w:tcW w:w="1065" w:type="dxa"/>
            <w:vAlign w:val="center"/>
          </w:tcPr>
          <w:p w14:paraId="52A9E437">
            <w:pPr>
              <w:spacing w:line="400" w:lineRule="exact"/>
              <w:jc w:val="center"/>
              <w:rPr>
                <w:rFonts w:ascii="Times New Roman" w:hAnsi="Times New Roman" w:eastAsia="方正仿宋_GBK" w:cs="Times New Roman"/>
                <w:color w:val="auto"/>
                <w:sz w:val="28"/>
                <w:szCs w:val="28"/>
              </w:rPr>
            </w:pPr>
          </w:p>
        </w:tc>
        <w:tc>
          <w:tcPr>
            <w:tcW w:w="1048" w:type="dxa"/>
            <w:vAlign w:val="center"/>
          </w:tcPr>
          <w:p w14:paraId="36E497FF">
            <w:pPr>
              <w:spacing w:line="400" w:lineRule="exact"/>
              <w:jc w:val="center"/>
              <w:rPr>
                <w:rFonts w:ascii="Times New Roman" w:hAnsi="Times New Roman" w:eastAsia="方正仿宋_GBK" w:cs="Times New Roman"/>
                <w:color w:val="auto"/>
                <w:sz w:val="28"/>
                <w:szCs w:val="28"/>
              </w:rPr>
            </w:pPr>
          </w:p>
        </w:tc>
      </w:tr>
      <w:tr w14:paraId="14EB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C75C8BD">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2</w:t>
            </w:r>
          </w:p>
        </w:tc>
        <w:tc>
          <w:tcPr>
            <w:tcW w:w="1417" w:type="dxa"/>
            <w:vAlign w:val="center"/>
          </w:tcPr>
          <w:p w14:paraId="5F2D3661">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高阶智能车</w:t>
            </w:r>
          </w:p>
        </w:tc>
        <w:tc>
          <w:tcPr>
            <w:tcW w:w="798" w:type="dxa"/>
            <w:vAlign w:val="center"/>
          </w:tcPr>
          <w:p w14:paraId="44309F18">
            <w:pPr>
              <w:spacing w:line="400" w:lineRule="exact"/>
              <w:jc w:val="center"/>
              <w:rPr>
                <w:rFonts w:ascii="Times New Roman" w:hAnsi="Times New Roman" w:eastAsia="方正仿宋_GBK" w:cs="Times New Roman"/>
                <w:color w:val="auto"/>
                <w:sz w:val="28"/>
                <w:szCs w:val="28"/>
              </w:rPr>
            </w:pPr>
          </w:p>
        </w:tc>
        <w:tc>
          <w:tcPr>
            <w:tcW w:w="830" w:type="dxa"/>
            <w:vAlign w:val="center"/>
          </w:tcPr>
          <w:p w14:paraId="5B0A4F68">
            <w:pPr>
              <w:spacing w:line="400" w:lineRule="exact"/>
              <w:jc w:val="center"/>
              <w:rPr>
                <w:rFonts w:ascii="Times New Roman" w:hAnsi="Times New Roman" w:eastAsia="方正仿宋_GBK" w:cs="Times New Roman"/>
                <w:color w:val="auto"/>
                <w:sz w:val="28"/>
                <w:szCs w:val="28"/>
              </w:rPr>
            </w:pPr>
          </w:p>
        </w:tc>
        <w:tc>
          <w:tcPr>
            <w:tcW w:w="2437" w:type="dxa"/>
            <w:vAlign w:val="center"/>
          </w:tcPr>
          <w:p w14:paraId="0FF0054D">
            <w:pPr>
              <w:spacing w:line="400" w:lineRule="exact"/>
              <w:rPr>
                <w:rFonts w:ascii="Times New Roman" w:hAnsi="Times New Roman" w:eastAsia="方正仿宋_GBK" w:cs="Times New Roman"/>
                <w:color w:val="auto"/>
                <w:sz w:val="28"/>
                <w:szCs w:val="28"/>
              </w:rPr>
            </w:pPr>
          </w:p>
        </w:tc>
        <w:tc>
          <w:tcPr>
            <w:tcW w:w="700" w:type="dxa"/>
            <w:vAlign w:val="center"/>
          </w:tcPr>
          <w:p w14:paraId="49C07B47">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台</w:t>
            </w:r>
          </w:p>
        </w:tc>
        <w:tc>
          <w:tcPr>
            <w:tcW w:w="754" w:type="dxa"/>
            <w:vAlign w:val="center"/>
          </w:tcPr>
          <w:p w14:paraId="2A643824">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w:t>
            </w:r>
          </w:p>
        </w:tc>
        <w:tc>
          <w:tcPr>
            <w:tcW w:w="1065" w:type="dxa"/>
            <w:vAlign w:val="center"/>
          </w:tcPr>
          <w:p w14:paraId="243C8ABD">
            <w:pPr>
              <w:spacing w:line="400" w:lineRule="exact"/>
              <w:jc w:val="center"/>
              <w:rPr>
                <w:rFonts w:ascii="Times New Roman" w:hAnsi="Times New Roman" w:eastAsia="方正仿宋_GBK" w:cs="Times New Roman"/>
                <w:color w:val="auto"/>
                <w:sz w:val="28"/>
                <w:szCs w:val="28"/>
              </w:rPr>
            </w:pPr>
          </w:p>
        </w:tc>
        <w:tc>
          <w:tcPr>
            <w:tcW w:w="1048" w:type="dxa"/>
            <w:vAlign w:val="center"/>
          </w:tcPr>
          <w:p w14:paraId="20091263">
            <w:pPr>
              <w:spacing w:line="400" w:lineRule="exact"/>
              <w:jc w:val="center"/>
              <w:rPr>
                <w:rFonts w:ascii="Times New Roman" w:hAnsi="Times New Roman" w:eastAsia="方正仿宋_GBK" w:cs="Times New Roman"/>
                <w:color w:val="auto"/>
                <w:sz w:val="28"/>
                <w:szCs w:val="28"/>
              </w:rPr>
            </w:pPr>
          </w:p>
        </w:tc>
      </w:tr>
      <w:tr w14:paraId="795F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498B763A">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3</w:t>
            </w:r>
          </w:p>
        </w:tc>
        <w:tc>
          <w:tcPr>
            <w:tcW w:w="1417" w:type="dxa"/>
            <w:vAlign w:val="center"/>
          </w:tcPr>
          <w:p w14:paraId="2E1863DC">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微缩竞赛赛道</w:t>
            </w:r>
          </w:p>
        </w:tc>
        <w:tc>
          <w:tcPr>
            <w:tcW w:w="798" w:type="dxa"/>
            <w:vAlign w:val="center"/>
          </w:tcPr>
          <w:p w14:paraId="7D9BAE9F">
            <w:pPr>
              <w:spacing w:line="400" w:lineRule="exact"/>
              <w:jc w:val="center"/>
              <w:rPr>
                <w:rFonts w:ascii="Times New Roman" w:hAnsi="Times New Roman" w:eastAsia="方正仿宋_GBK" w:cs="Times New Roman"/>
                <w:color w:val="auto"/>
                <w:sz w:val="28"/>
                <w:szCs w:val="28"/>
              </w:rPr>
            </w:pPr>
          </w:p>
        </w:tc>
        <w:tc>
          <w:tcPr>
            <w:tcW w:w="830" w:type="dxa"/>
            <w:vAlign w:val="center"/>
          </w:tcPr>
          <w:p w14:paraId="3DF276CF">
            <w:pPr>
              <w:spacing w:line="400" w:lineRule="exact"/>
              <w:jc w:val="center"/>
              <w:rPr>
                <w:rFonts w:ascii="Times New Roman" w:hAnsi="Times New Roman" w:eastAsia="方正仿宋_GBK" w:cs="Times New Roman"/>
                <w:color w:val="auto"/>
                <w:sz w:val="28"/>
                <w:szCs w:val="28"/>
              </w:rPr>
            </w:pPr>
          </w:p>
        </w:tc>
        <w:tc>
          <w:tcPr>
            <w:tcW w:w="2437" w:type="dxa"/>
            <w:vAlign w:val="center"/>
          </w:tcPr>
          <w:p w14:paraId="2C7BAB4D">
            <w:pPr>
              <w:spacing w:line="400" w:lineRule="exact"/>
              <w:rPr>
                <w:rFonts w:ascii="Times New Roman" w:hAnsi="Times New Roman" w:eastAsia="方正仿宋_GBK" w:cs="Times New Roman"/>
                <w:color w:val="auto"/>
                <w:sz w:val="28"/>
                <w:szCs w:val="28"/>
              </w:rPr>
            </w:pPr>
          </w:p>
        </w:tc>
        <w:tc>
          <w:tcPr>
            <w:tcW w:w="700" w:type="dxa"/>
            <w:vAlign w:val="center"/>
          </w:tcPr>
          <w:p w14:paraId="34DF6166">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套</w:t>
            </w:r>
          </w:p>
        </w:tc>
        <w:tc>
          <w:tcPr>
            <w:tcW w:w="754" w:type="dxa"/>
            <w:vAlign w:val="center"/>
          </w:tcPr>
          <w:p w14:paraId="02112718">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w:t>
            </w:r>
          </w:p>
        </w:tc>
        <w:tc>
          <w:tcPr>
            <w:tcW w:w="1065" w:type="dxa"/>
            <w:vAlign w:val="center"/>
          </w:tcPr>
          <w:p w14:paraId="76960F1C">
            <w:pPr>
              <w:spacing w:line="400" w:lineRule="exact"/>
              <w:jc w:val="center"/>
              <w:rPr>
                <w:rFonts w:ascii="Times New Roman" w:hAnsi="Times New Roman" w:eastAsia="方正仿宋_GBK" w:cs="Times New Roman"/>
                <w:color w:val="auto"/>
                <w:sz w:val="28"/>
                <w:szCs w:val="28"/>
              </w:rPr>
            </w:pPr>
          </w:p>
        </w:tc>
        <w:tc>
          <w:tcPr>
            <w:tcW w:w="1048" w:type="dxa"/>
            <w:vAlign w:val="center"/>
          </w:tcPr>
          <w:p w14:paraId="123EB300">
            <w:pPr>
              <w:spacing w:line="400" w:lineRule="exact"/>
              <w:jc w:val="center"/>
              <w:rPr>
                <w:rFonts w:ascii="Times New Roman" w:hAnsi="Times New Roman" w:eastAsia="方正仿宋_GBK" w:cs="Times New Roman"/>
                <w:color w:val="auto"/>
                <w:sz w:val="28"/>
                <w:szCs w:val="28"/>
              </w:rPr>
            </w:pPr>
          </w:p>
        </w:tc>
      </w:tr>
      <w:tr w14:paraId="410E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FEC916D">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4</w:t>
            </w:r>
          </w:p>
        </w:tc>
        <w:tc>
          <w:tcPr>
            <w:tcW w:w="1417" w:type="dxa"/>
            <w:vAlign w:val="center"/>
          </w:tcPr>
          <w:p w14:paraId="30563FD9">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收纳柜</w:t>
            </w:r>
          </w:p>
        </w:tc>
        <w:tc>
          <w:tcPr>
            <w:tcW w:w="798" w:type="dxa"/>
            <w:vAlign w:val="center"/>
          </w:tcPr>
          <w:p w14:paraId="076BC031">
            <w:pPr>
              <w:spacing w:line="400" w:lineRule="exact"/>
              <w:jc w:val="center"/>
              <w:rPr>
                <w:rFonts w:ascii="Times New Roman" w:hAnsi="Times New Roman" w:eastAsia="方正仿宋_GBK" w:cs="Times New Roman"/>
                <w:color w:val="auto"/>
                <w:sz w:val="28"/>
                <w:szCs w:val="28"/>
              </w:rPr>
            </w:pPr>
          </w:p>
        </w:tc>
        <w:tc>
          <w:tcPr>
            <w:tcW w:w="830" w:type="dxa"/>
            <w:vAlign w:val="center"/>
          </w:tcPr>
          <w:p w14:paraId="426D0292">
            <w:pPr>
              <w:spacing w:line="400" w:lineRule="exact"/>
              <w:jc w:val="center"/>
              <w:rPr>
                <w:rFonts w:ascii="Times New Roman" w:hAnsi="Times New Roman" w:eastAsia="方正仿宋_GBK" w:cs="Times New Roman"/>
                <w:color w:val="auto"/>
                <w:sz w:val="28"/>
                <w:szCs w:val="28"/>
              </w:rPr>
            </w:pPr>
          </w:p>
        </w:tc>
        <w:tc>
          <w:tcPr>
            <w:tcW w:w="2437" w:type="dxa"/>
            <w:vAlign w:val="center"/>
          </w:tcPr>
          <w:p w14:paraId="164D0A7B">
            <w:pPr>
              <w:spacing w:line="400" w:lineRule="exact"/>
              <w:rPr>
                <w:rFonts w:ascii="Times New Roman" w:hAnsi="Times New Roman" w:eastAsia="方正仿宋_GBK" w:cs="Times New Roman"/>
                <w:color w:val="auto"/>
                <w:sz w:val="28"/>
                <w:szCs w:val="28"/>
              </w:rPr>
            </w:pPr>
          </w:p>
        </w:tc>
        <w:tc>
          <w:tcPr>
            <w:tcW w:w="700" w:type="dxa"/>
            <w:vAlign w:val="center"/>
          </w:tcPr>
          <w:p w14:paraId="3455436F">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台</w:t>
            </w:r>
          </w:p>
        </w:tc>
        <w:tc>
          <w:tcPr>
            <w:tcW w:w="754" w:type="dxa"/>
            <w:vAlign w:val="center"/>
          </w:tcPr>
          <w:p w14:paraId="55353A14">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10</w:t>
            </w:r>
          </w:p>
        </w:tc>
        <w:tc>
          <w:tcPr>
            <w:tcW w:w="1065" w:type="dxa"/>
            <w:vAlign w:val="center"/>
          </w:tcPr>
          <w:p w14:paraId="573DD3FF">
            <w:pPr>
              <w:spacing w:line="400" w:lineRule="exact"/>
              <w:jc w:val="center"/>
              <w:rPr>
                <w:rFonts w:ascii="Times New Roman" w:hAnsi="Times New Roman" w:eastAsia="方正仿宋_GBK" w:cs="Times New Roman"/>
                <w:color w:val="auto"/>
                <w:sz w:val="28"/>
                <w:szCs w:val="28"/>
              </w:rPr>
            </w:pPr>
          </w:p>
        </w:tc>
        <w:tc>
          <w:tcPr>
            <w:tcW w:w="1048" w:type="dxa"/>
            <w:vAlign w:val="center"/>
          </w:tcPr>
          <w:p w14:paraId="0268D9FB">
            <w:pPr>
              <w:spacing w:line="400" w:lineRule="exact"/>
              <w:jc w:val="center"/>
              <w:rPr>
                <w:rFonts w:ascii="Times New Roman" w:hAnsi="Times New Roman" w:eastAsia="方正仿宋_GBK" w:cs="Times New Roman"/>
                <w:color w:val="auto"/>
                <w:sz w:val="28"/>
                <w:szCs w:val="28"/>
              </w:rPr>
            </w:pPr>
          </w:p>
        </w:tc>
      </w:tr>
      <w:tr w14:paraId="69CB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0EE691B">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5</w:t>
            </w:r>
          </w:p>
        </w:tc>
        <w:tc>
          <w:tcPr>
            <w:tcW w:w="1417" w:type="dxa"/>
            <w:vAlign w:val="center"/>
          </w:tcPr>
          <w:p w14:paraId="73C71D1E">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线路</w:t>
            </w:r>
            <w:r>
              <w:rPr>
                <w:rFonts w:ascii="Times New Roman" w:hAnsi="Times New Roman" w:cs="Times New Roman"/>
                <w:color w:val="auto"/>
                <w:sz w:val="28"/>
                <w:szCs w:val="28"/>
              </w:rPr>
              <w:t>改造</w:t>
            </w:r>
          </w:p>
        </w:tc>
        <w:tc>
          <w:tcPr>
            <w:tcW w:w="798" w:type="dxa"/>
            <w:vAlign w:val="center"/>
          </w:tcPr>
          <w:p w14:paraId="060933FF">
            <w:pPr>
              <w:spacing w:line="400" w:lineRule="exact"/>
              <w:jc w:val="center"/>
              <w:rPr>
                <w:rFonts w:ascii="Times New Roman" w:hAnsi="Times New Roman" w:cs="Times New Roman"/>
                <w:color w:val="auto"/>
                <w:sz w:val="28"/>
                <w:szCs w:val="28"/>
              </w:rPr>
            </w:pPr>
          </w:p>
        </w:tc>
        <w:tc>
          <w:tcPr>
            <w:tcW w:w="830" w:type="dxa"/>
            <w:vAlign w:val="center"/>
          </w:tcPr>
          <w:p w14:paraId="585376D3">
            <w:pPr>
              <w:spacing w:line="400" w:lineRule="exact"/>
              <w:jc w:val="center"/>
              <w:rPr>
                <w:rFonts w:ascii="Times New Roman" w:hAnsi="Times New Roman" w:cs="Times New Roman"/>
                <w:color w:val="auto"/>
                <w:sz w:val="28"/>
                <w:szCs w:val="28"/>
              </w:rPr>
            </w:pPr>
          </w:p>
        </w:tc>
        <w:tc>
          <w:tcPr>
            <w:tcW w:w="2437" w:type="dxa"/>
            <w:vAlign w:val="center"/>
          </w:tcPr>
          <w:p w14:paraId="41209B22">
            <w:pPr>
              <w:spacing w:line="400" w:lineRule="exact"/>
              <w:rPr>
                <w:rFonts w:ascii="Times New Roman" w:hAnsi="Times New Roman" w:cs="Times New Roman"/>
                <w:color w:val="auto"/>
                <w:sz w:val="28"/>
                <w:szCs w:val="28"/>
              </w:rPr>
            </w:pPr>
          </w:p>
        </w:tc>
        <w:tc>
          <w:tcPr>
            <w:tcW w:w="700" w:type="dxa"/>
            <w:vAlign w:val="center"/>
          </w:tcPr>
          <w:p w14:paraId="208F4F3F">
            <w:pPr>
              <w:spacing w:line="4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项</w:t>
            </w:r>
          </w:p>
        </w:tc>
        <w:tc>
          <w:tcPr>
            <w:tcW w:w="754" w:type="dxa"/>
            <w:vAlign w:val="center"/>
          </w:tcPr>
          <w:p w14:paraId="039E50BF">
            <w:pPr>
              <w:spacing w:line="400" w:lineRule="exact"/>
              <w:jc w:val="center"/>
              <w:rPr>
                <w:rFonts w:ascii="Times New Roman" w:hAnsi="Times New Roman" w:cs="Times New Roman"/>
                <w:color w:val="auto"/>
                <w:sz w:val="28"/>
                <w:szCs w:val="28"/>
              </w:rPr>
            </w:pPr>
            <w:r>
              <w:rPr>
                <w:rFonts w:hint="eastAsia" w:ascii="Times New Roman" w:hAnsi="Times New Roman" w:eastAsia="方正仿宋_GBK" w:cs="Times New Roman"/>
                <w:color w:val="auto"/>
                <w:sz w:val="28"/>
                <w:szCs w:val="28"/>
              </w:rPr>
              <w:t>1</w:t>
            </w:r>
          </w:p>
        </w:tc>
        <w:tc>
          <w:tcPr>
            <w:tcW w:w="1065" w:type="dxa"/>
            <w:vAlign w:val="center"/>
          </w:tcPr>
          <w:p w14:paraId="0EE5FE64">
            <w:pPr>
              <w:spacing w:line="400" w:lineRule="exact"/>
              <w:jc w:val="center"/>
              <w:rPr>
                <w:rFonts w:ascii="Times New Roman" w:hAnsi="Times New Roman" w:cs="Times New Roman"/>
                <w:color w:val="auto"/>
                <w:sz w:val="28"/>
                <w:szCs w:val="28"/>
              </w:rPr>
            </w:pPr>
          </w:p>
        </w:tc>
        <w:tc>
          <w:tcPr>
            <w:tcW w:w="1048" w:type="dxa"/>
            <w:vAlign w:val="center"/>
          </w:tcPr>
          <w:p w14:paraId="014E5C14">
            <w:pPr>
              <w:spacing w:line="400" w:lineRule="exact"/>
              <w:jc w:val="center"/>
              <w:rPr>
                <w:rFonts w:ascii="Times New Roman" w:hAnsi="Times New Roman" w:cs="Times New Roman"/>
                <w:color w:val="auto"/>
                <w:sz w:val="28"/>
                <w:szCs w:val="28"/>
              </w:rPr>
            </w:pPr>
          </w:p>
        </w:tc>
      </w:tr>
      <w:tr w14:paraId="6B28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595A1472">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6</w:t>
            </w:r>
          </w:p>
        </w:tc>
        <w:tc>
          <w:tcPr>
            <w:tcW w:w="1417" w:type="dxa"/>
            <w:vAlign w:val="center"/>
          </w:tcPr>
          <w:p w14:paraId="37BB8830">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文化宣传</w:t>
            </w:r>
          </w:p>
        </w:tc>
        <w:tc>
          <w:tcPr>
            <w:tcW w:w="798" w:type="dxa"/>
            <w:vAlign w:val="center"/>
          </w:tcPr>
          <w:p w14:paraId="6BDC664E">
            <w:pPr>
              <w:spacing w:line="400" w:lineRule="exact"/>
              <w:jc w:val="center"/>
              <w:rPr>
                <w:rFonts w:ascii="Times New Roman" w:hAnsi="Times New Roman" w:cs="Times New Roman"/>
                <w:color w:val="auto"/>
                <w:sz w:val="28"/>
                <w:szCs w:val="28"/>
              </w:rPr>
            </w:pPr>
          </w:p>
        </w:tc>
        <w:tc>
          <w:tcPr>
            <w:tcW w:w="830" w:type="dxa"/>
            <w:vAlign w:val="center"/>
          </w:tcPr>
          <w:p w14:paraId="779D3BCD">
            <w:pPr>
              <w:spacing w:line="400" w:lineRule="exact"/>
              <w:jc w:val="center"/>
              <w:rPr>
                <w:rFonts w:ascii="Times New Roman" w:hAnsi="Times New Roman" w:eastAsia="方正仿宋_GBK" w:cs="Times New Roman"/>
                <w:color w:val="auto"/>
                <w:sz w:val="28"/>
                <w:szCs w:val="28"/>
              </w:rPr>
            </w:pPr>
          </w:p>
        </w:tc>
        <w:tc>
          <w:tcPr>
            <w:tcW w:w="2437" w:type="dxa"/>
            <w:vAlign w:val="center"/>
          </w:tcPr>
          <w:p w14:paraId="1D83639D">
            <w:pPr>
              <w:spacing w:line="400" w:lineRule="exact"/>
              <w:rPr>
                <w:rFonts w:ascii="Times New Roman" w:hAnsi="Times New Roman" w:cs="Times New Roman"/>
                <w:color w:val="auto"/>
                <w:sz w:val="28"/>
                <w:szCs w:val="28"/>
              </w:rPr>
            </w:pPr>
          </w:p>
        </w:tc>
        <w:tc>
          <w:tcPr>
            <w:tcW w:w="700" w:type="dxa"/>
            <w:vAlign w:val="center"/>
          </w:tcPr>
          <w:p w14:paraId="39EF68F0">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项</w:t>
            </w:r>
          </w:p>
        </w:tc>
        <w:tc>
          <w:tcPr>
            <w:tcW w:w="754" w:type="dxa"/>
            <w:vAlign w:val="center"/>
          </w:tcPr>
          <w:p w14:paraId="16A55A50">
            <w:pPr>
              <w:spacing w:line="400" w:lineRule="exact"/>
              <w:jc w:val="center"/>
              <w:rPr>
                <w:rFonts w:ascii="Times New Roman" w:hAnsi="Times New Roman" w:cs="Times New Roman"/>
                <w:color w:val="auto"/>
                <w:sz w:val="28"/>
                <w:szCs w:val="28"/>
              </w:rPr>
            </w:pPr>
            <w:r>
              <w:rPr>
                <w:rFonts w:hint="eastAsia" w:ascii="Times New Roman" w:hAnsi="Times New Roman" w:eastAsia="方正仿宋_GBK" w:cs="Times New Roman"/>
                <w:color w:val="auto"/>
                <w:sz w:val="28"/>
                <w:szCs w:val="28"/>
              </w:rPr>
              <w:t>1</w:t>
            </w:r>
          </w:p>
        </w:tc>
        <w:tc>
          <w:tcPr>
            <w:tcW w:w="1065" w:type="dxa"/>
            <w:vAlign w:val="center"/>
          </w:tcPr>
          <w:p w14:paraId="527ACAF2">
            <w:pPr>
              <w:spacing w:line="400" w:lineRule="exact"/>
              <w:jc w:val="center"/>
              <w:rPr>
                <w:rFonts w:ascii="Times New Roman" w:hAnsi="Times New Roman" w:cs="Times New Roman"/>
                <w:color w:val="auto"/>
                <w:sz w:val="28"/>
                <w:szCs w:val="28"/>
              </w:rPr>
            </w:pPr>
          </w:p>
        </w:tc>
        <w:tc>
          <w:tcPr>
            <w:tcW w:w="1048" w:type="dxa"/>
            <w:vAlign w:val="center"/>
          </w:tcPr>
          <w:p w14:paraId="4994BEC0">
            <w:pPr>
              <w:spacing w:line="400" w:lineRule="exact"/>
              <w:jc w:val="center"/>
              <w:rPr>
                <w:rFonts w:ascii="Times New Roman" w:hAnsi="Times New Roman" w:cs="Times New Roman"/>
                <w:color w:val="auto"/>
                <w:sz w:val="28"/>
                <w:szCs w:val="28"/>
              </w:rPr>
            </w:pPr>
          </w:p>
        </w:tc>
      </w:tr>
      <w:tr w14:paraId="1B51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78E5EA5">
            <w:pPr>
              <w:spacing w:line="400" w:lineRule="exact"/>
              <w:jc w:val="center"/>
              <w:rPr>
                <w:rFonts w:hint="eastAsia" w:ascii="Times New Roman" w:hAnsi="Times New Roman" w:cs="Times New Roman"/>
                <w:b/>
                <w:bCs/>
                <w:color w:val="auto"/>
                <w:sz w:val="28"/>
                <w:szCs w:val="28"/>
              </w:rPr>
            </w:pPr>
          </w:p>
        </w:tc>
        <w:tc>
          <w:tcPr>
            <w:tcW w:w="1417" w:type="dxa"/>
            <w:vAlign w:val="center"/>
          </w:tcPr>
          <w:p w14:paraId="701E2C1A">
            <w:pPr>
              <w:spacing w:line="400" w:lineRule="exact"/>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总计（元）</w:t>
            </w:r>
          </w:p>
        </w:tc>
        <w:tc>
          <w:tcPr>
            <w:tcW w:w="798" w:type="dxa"/>
            <w:vAlign w:val="center"/>
          </w:tcPr>
          <w:p w14:paraId="26F6266C">
            <w:pPr>
              <w:spacing w:line="400" w:lineRule="exact"/>
              <w:jc w:val="center"/>
              <w:rPr>
                <w:rFonts w:ascii="Times New Roman" w:hAnsi="Times New Roman" w:cs="Times New Roman"/>
                <w:b/>
                <w:bCs/>
                <w:color w:val="auto"/>
                <w:sz w:val="28"/>
                <w:szCs w:val="28"/>
              </w:rPr>
            </w:pPr>
          </w:p>
        </w:tc>
        <w:tc>
          <w:tcPr>
            <w:tcW w:w="830" w:type="dxa"/>
            <w:vAlign w:val="center"/>
          </w:tcPr>
          <w:p w14:paraId="0F5F5BCD">
            <w:pPr>
              <w:spacing w:line="400" w:lineRule="exact"/>
              <w:jc w:val="center"/>
              <w:rPr>
                <w:rFonts w:ascii="Times New Roman" w:hAnsi="Times New Roman" w:eastAsia="方正仿宋_GBK" w:cs="Times New Roman"/>
                <w:b/>
                <w:bCs/>
                <w:color w:val="auto"/>
                <w:sz w:val="28"/>
                <w:szCs w:val="28"/>
              </w:rPr>
            </w:pPr>
          </w:p>
        </w:tc>
        <w:tc>
          <w:tcPr>
            <w:tcW w:w="2437" w:type="dxa"/>
            <w:vAlign w:val="center"/>
          </w:tcPr>
          <w:p w14:paraId="6F049955">
            <w:pPr>
              <w:spacing w:line="400" w:lineRule="exact"/>
              <w:rPr>
                <w:rFonts w:ascii="Times New Roman" w:hAnsi="Times New Roman" w:cs="Times New Roman"/>
                <w:b/>
                <w:bCs/>
                <w:color w:val="auto"/>
                <w:sz w:val="28"/>
                <w:szCs w:val="28"/>
              </w:rPr>
            </w:pPr>
          </w:p>
        </w:tc>
        <w:tc>
          <w:tcPr>
            <w:tcW w:w="700" w:type="dxa"/>
            <w:vAlign w:val="center"/>
          </w:tcPr>
          <w:p w14:paraId="262E69A8">
            <w:pPr>
              <w:spacing w:line="400" w:lineRule="exact"/>
              <w:jc w:val="center"/>
              <w:rPr>
                <w:rFonts w:hint="eastAsia" w:ascii="Times New Roman" w:hAnsi="Times New Roman" w:cs="Times New Roman"/>
                <w:b/>
                <w:bCs/>
                <w:color w:val="auto"/>
                <w:sz w:val="28"/>
                <w:szCs w:val="28"/>
              </w:rPr>
            </w:pPr>
          </w:p>
        </w:tc>
        <w:tc>
          <w:tcPr>
            <w:tcW w:w="754" w:type="dxa"/>
            <w:vAlign w:val="center"/>
          </w:tcPr>
          <w:p w14:paraId="73F8035A">
            <w:pPr>
              <w:spacing w:line="400" w:lineRule="exact"/>
              <w:jc w:val="center"/>
              <w:rPr>
                <w:rFonts w:hint="eastAsia" w:ascii="Times New Roman" w:hAnsi="Times New Roman" w:eastAsia="方正仿宋_GBK" w:cs="Times New Roman"/>
                <w:b/>
                <w:bCs/>
                <w:color w:val="auto"/>
                <w:sz w:val="28"/>
                <w:szCs w:val="28"/>
              </w:rPr>
            </w:pPr>
          </w:p>
        </w:tc>
        <w:tc>
          <w:tcPr>
            <w:tcW w:w="1065" w:type="dxa"/>
            <w:vAlign w:val="center"/>
          </w:tcPr>
          <w:p w14:paraId="549ECD88">
            <w:pPr>
              <w:spacing w:line="400" w:lineRule="exact"/>
              <w:jc w:val="center"/>
              <w:rPr>
                <w:rFonts w:ascii="Times New Roman" w:hAnsi="Times New Roman" w:cs="Times New Roman"/>
                <w:b/>
                <w:bCs/>
                <w:color w:val="auto"/>
                <w:sz w:val="28"/>
                <w:szCs w:val="28"/>
              </w:rPr>
            </w:pPr>
          </w:p>
        </w:tc>
        <w:tc>
          <w:tcPr>
            <w:tcW w:w="1048" w:type="dxa"/>
            <w:vAlign w:val="center"/>
          </w:tcPr>
          <w:p w14:paraId="37033631">
            <w:pPr>
              <w:spacing w:line="400" w:lineRule="exact"/>
              <w:jc w:val="center"/>
              <w:rPr>
                <w:rFonts w:ascii="Times New Roman" w:hAnsi="Times New Roman" w:cs="Times New Roman"/>
                <w:b/>
                <w:bCs/>
                <w:color w:val="auto"/>
                <w:sz w:val="28"/>
                <w:szCs w:val="28"/>
              </w:rPr>
            </w:pPr>
          </w:p>
        </w:tc>
      </w:tr>
    </w:tbl>
    <w:p w14:paraId="26E9F66D">
      <w:pPr>
        <w:widowControl/>
        <w:spacing w:line="520" w:lineRule="exact"/>
        <w:jc w:val="left"/>
        <w:rPr>
          <w:rFonts w:ascii="Times New Roman" w:hAnsi="Times New Roman" w:eastAsia="方正黑体_GBK" w:cs="Times New Roman"/>
          <w:bCs/>
          <w:color w:val="auto"/>
          <w:sz w:val="32"/>
          <w:szCs w:val="32"/>
        </w:rPr>
      </w:pPr>
    </w:p>
    <w:p w14:paraId="418802F6">
      <w:pPr>
        <w:widowControl/>
        <w:spacing w:line="520" w:lineRule="exact"/>
        <w:jc w:val="left"/>
        <w:rPr>
          <w:rFonts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lang w:val="en-US" w:eastAsia="zh-CN"/>
        </w:rPr>
        <w:t>2.</w:t>
      </w:r>
      <w:r>
        <w:rPr>
          <w:rFonts w:hint="eastAsia" w:ascii="Times New Roman" w:hAnsi="Times New Roman" w:eastAsia="方正黑体_GBK" w:cs="Times New Roman"/>
          <w:bCs/>
          <w:color w:val="auto"/>
          <w:sz w:val="32"/>
          <w:szCs w:val="32"/>
        </w:rPr>
        <w:t>物联网场景应用实验室建设采购清单</w:t>
      </w:r>
    </w:p>
    <w:tbl>
      <w:tblPr>
        <w:tblStyle w:val="43"/>
        <w:tblpPr w:leftFromText="180" w:rightFromText="180" w:vertAnchor="text" w:horzAnchor="page" w:tblpXSpec="center" w:tblpY="137"/>
        <w:tblOverlap w:val="never"/>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31"/>
        <w:gridCol w:w="795"/>
        <w:gridCol w:w="795"/>
        <w:gridCol w:w="3116"/>
        <w:gridCol w:w="795"/>
        <w:gridCol w:w="571"/>
        <w:gridCol w:w="901"/>
        <w:gridCol w:w="1027"/>
      </w:tblGrid>
      <w:tr w14:paraId="0409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vAlign w:val="center"/>
          </w:tcPr>
          <w:p w14:paraId="625839F1">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631" w:type="dxa"/>
            <w:vAlign w:val="center"/>
          </w:tcPr>
          <w:p w14:paraId="200C4C5D">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名称</w:t>
            </w:r>
          </w:p>
        </w:tc>
        <w:tc>
          <w:tcPr>
            <w:tcW w:w="795" w:type="dxa"/>
            <w:vAlign w:val="center"/>
          </w:tcPr>
          <w:p w14:paraId="72C46143">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品牌</w:t>
            </w:r>
          </w:p>
        </w:tc>
        <w:tc>
          <w:tcPr>
            <w:tcW w:w="795" w:type="dxa"/>
            <w:vAlign w:val="center"/>
          </w:tcPr>
          <w:p w14:paraId="3C883F26">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型号</w:t>
            </w:r>
          </w:p>
        </w:tc>
        <w:tc>
          <w:tcPr>
            <w:tcW w:w="3116" w:type="dxa"/>
            <w:vAlign w:val="center"/>
          </w:tcPr>
          <w:p w14:paraId="3D6F3712">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功能参数</w:t>
            </w:r>
          </w:p>
        </w:tc>
        <w:tc>
          <w:tcPr>
            <w:tcW w:w="795" w:type="dxa"/>
            <w:vAlign w:val="center"/>
          </w:tcPr>
          <w:p w14:paraId="045FE915">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单位</w:t>
            </w:r>
          </w:p>
        </w:tc>
        <w:tc>
          <w:tcPr>
            <w:tcW w:w="571" w:type="dxa"/>
            <w:vAlign w:val="center"/>
          </w:tcPr>
          <w:p w14:paraId="5A0E016E">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数量</w:t>
            </w:r>
          </w:p>
        </w:tc>
        <w:tc>
          <w:tcPr>
            <w:tcW w:w="901" w:type="dxa"/>
            <w:vAlign w:val="center"/>
          </w:tcPr>
          <w:p w14:paraId="1A16AB13">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单价(元)</w:t>
            </w:r>
          </w:p>
        </w:tc>
        <w:tc>
          <w:tcPr>
            <w:tcW w:w="1027" w:type="dxa"/>
            <w:vAlign w:val="center"/>
          </w:tcPr>
          <w:p w14:paraId="30D47BA8">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合计(元)</w:t>
            </w:r>
          </w:p>
        </w:tc>
      </w:tr>
      <w:tr w14:paraId="6BD1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vAlign w:val="center"/>
          </w:tcPr>
          <w:p w14:paraId="7CDC2E67">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w:t>
            </w:r>
          </w:p>
        </w:tc>
        <w:tc>
          <w:tcPr>
            <w:tcW w:w="1631" w:type="dxa"/>
            <w:vAlign w:val="center"/>
          </w:tcPr>
          <w:p w14:paraId="31E7E7E0">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物联网工程应用实验装置</w:t>
            </w:r>
          </w:p>
        </w:tc>
        <w:tc>
          <w:tcPr>
            <w:tcW w:w="795" w:type="dxa"/>
            <w:vAlign w:val="center"/>
          </w:tcPr>
          <w:p w14:paraId="754C6638">
            <w:pPr>
              <w:spacing w:line="400" w:lineRule="exact"/>
              <w:jc w:val="center"/>
              <w:rPr>
                <w:rFonts w:ascii="Times New Roman" w:hAnsi="Times New Roman" w:cs="Times New Roman"/>
                <w:color w:val="auto"/>
                <w:sz w:val="28"/>
                <w:szCs w:val="28"/>
              </w:rPr>
            </w:pPr>
          </w:p>
        </w:tc>
        <w:tc>
          <w:tcPr>
            <w:tcW w:w="795" w:type="dxa"/>
            <w:vAlign w:val="center"/>
          </w:tcPr>
          <w:p w14:paraId="221390E1">
            <w:pPr>
              <w:spacing w:line="400" w:lineRule="exact"/>
              <w:jc w:val="center"/>
              <w:rPr>
                <w:rFonts w:ascii="Times New Roman" w:hAnsi="Times New Roman" w:cs="Times New Roman"/>
                <w:color w:val="auto"/>
                <w:sz w:val="28"/>
                <w:szCs w:val="28"/>
              </w:rPr>
            </w:pPr>
          </w:p>
        </w:tc>
        <w:tc>
          <w:tcPr>
            <w:tcW w:w="3116" w:type="dxa"/>
            <w:vAlign w:val="center"/>
          </w:tcPr>
          <w:p w14:paraId="10A7B393">
            <w:pPr>
              <w:spacing w:line="400" w:lineRule="exact"/>
              <w:jc w:val="left"/>
              <w:rPr>
                <w:rFonts w:ascii="Times New Roman" w:hAnsi="Times New Roman" w:eastAsia="方正仿宋_GBK" w:cs="Times New Roman"/>
                <w:color w:val="auto"/>
                <w:sz w:val="28"/>
                <w:szCs w:val="28"/>
              </w:rPr>
            </w:pPr>
          </w:p>
        </w:tc>
        <w:tc>
          <w:tcPr>
            <w:tcW w:w="795" w:type="dxa"/>
            <w:vAlign w:val="center"/>
          </w:tcPr>
          <w:p w14:paraId="532DF50B">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套</w:t>
            </w:r>
          </w:p>
        </w:tc>
        <w:tc>
          <w:tcPr>
            <w:tcW w:w="571" w:type="dxa"/>
            <w:vAlign w:val="center"/>
          </w:tcPr>
          <w:p w14:paraId="57407B08">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18</w:t>
            </w:r>
          </w:p>
        </w:tc>
        <w:tc>
          <w:tcPr>
            <w:tcW w:w="901" w:type="dxa"/>
            <w:vAlign w:val="center"/>
          </w:tcPr>
          <w:p w14:paraId="094FE45A">
            <w:pPr>
              <w:spacing w:line="400" w:lineRule="exact"/>
              <w:jc w:val="center"/>
              <w:rPr>
                <w:rFonts w:ascii="Times New Roman" w:hAnsi="Times New Roman" w:eastAsia="方正仿宋_GBK" w:cs="Times New Roman"/>
                <w:color w:val="auto"/>
                <w:sz w:val="28"/>
                <w:szCs w:val="28"/>
              </w:rPr>
            </w:pPr>
          </w:p>
        </w:tc>
        <w:tc>
          <w:tcPr>
            <w:tcW w:w="1027" w:type="dxa"/>
            <w:vAlign w:val="center"/>
          </w:tcPr>
          <w:p w14:paraId="0057A20C">
            <w:pPr>
              <w:spacing w:line="400" w:lineRule="exact"/>
              <w:jc w:val="center"/>
              <w:rPr>
                <w:rFonts w:ascii="Times New Roman" w:hAnsi="Times New Roman" w:eastAsia="方正仿宋_GBK" w:cs="Times New Roman"/>
                <w:color w:val="auto"/>
                <w:sz w:val="28"/>
                <w:szCs w:val="28"/>
              </w:rPr>
            </w:pPr>
          </w:p>
        </w:tc>
      </w:tr>
      <w:tr w14:paraId="123C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9833B78">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2</w:t>
            </w:r>
          </w:p>
        </w:tc>
        <w:tc>
          <w:tcPr>
            <w:tcW w:w="1631" w:type="dxa"/>
            <w:vAlign w:val="center"/>
          </w:tcPr>
          <w:p w14:paraId="579DC0B5">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线路</w:t>
            </w:r>
            <w:r>
              <w:rPr>
                <w:rFonts w:ascii="Times New Roman" w:hAnsi="Times New Roman" w:cs="Times New Roman"/>
                <w:color w:val="auto"/>
                <w:sz w:val="28"/>
                <w:szCs w:val="28"/>
              </w:rPr>
              <w:t>改造</w:t>
            </w:r>
          </w:p>
        </w:tc>
        <w:tc>
          <w:tcPr>
            <w:tcW w:w="795" w:type="dxa"/>
            <w:vAlign w:val="center"/>
          </w:tcPr>
          <w:p w14:paraId="17879F05">
            <w:pPr>
              <w:spacing w:line="400" w:lineRule="exact"/>
              <w:jc w:val="center"/>
              <w:rPr>
                <w:rFonts w:ascii="Times New Roman" w:hAnsi="Times New Roman" w:cs="Times New Roman"/>
                <w:color w:val="auto"/>
                <w:sz w:val="28"/>
                <w:szCs w:val="28"/>
              </w:rPr>
            </w:pPr>
          </w:p>
        </w:tc>
        <w:tc>
          <w:tcPr>
            <w:tcW w:w="795" w:type="dxa"/>
            <w:vAlign w:val="center"/>
          </w:tcPr>
          <w:p w14:paraId="7915DE0C">
            <w:pPr>
              <w:spacing w:line="400" w:lineRule="exact"/>
              <w:jc w:val="center"/>
              <w:rPr>
                <w:rFonts w:ascii="Times New Roman" w:hAnsi="Times New Roman" w:cs="Times New Roman"/>
                <w:color w:val="auto"/>
                <w:sz w:val="28"/>
                <w:szCs w:val="28"/>
              </w:rPr>
            </w:pPr>
          </w:p>
        </w:tc>
        <w:tc>
          <w:tcPr>
            <w:tcW w:w="3116" w:type="dxa"/>
            <w:vAlign w:val="center"/>
          </w:tcPr>
          <w:p w14:paraId="1DD7F2ED">
            <w:pPr>
              <w:spacing w:line="400" w:lineRule="exact"/>
              <w:jc w:val="left"/>
              <w:rPr>
                <w:rFonts w:ascii="Times New Roman" w:hAnsi="Times New Roman" w:eastAsia="方正仿宋_GBK" w:cs="Times New Roman"/>
                <w:color w:val="auto"/>
                <w:sz w:val="28"/>
                <w:szCs w:val="28"/>
              </w:rPr>
            </w:pPr>
          </w:p>
        </w:tc>
        <w:tc>
          <w:tcPr>
            <w:tcW w:w="795" w:type="dxa"/>
            <w:vAlign w:val="center"/>
          </w:tcPr>
          <w:p w14:paraId="308BA0BF">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项</w:t>
            </w:r>
          </w:p>
        </w:tc>
        <w:tc>
          <w:tcPr>
            <w:tcW w:w="571" w:type="dxa"/>
            <w:vAlign w:val="center"/>
          </w:tcPr>
          <w:p w14:paraId="3603C07E">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c>
          <w:tcPr>
            <w:tcW w:w="901" w:type="dxa"/>
            <w:vAlign w:val="center"/>
          </w:tcPr>
          <w:p w14:paraId="2C5375C8">
            <w:pPr>
              <w:spacing w:line="400" w:lineRule="exact"/>
              <w:jc w:val="center"/>
              <w:rPr>
                <w:rFonts w:ascii="Times New Roman" w:hAnsi="Times New Roman" w:eastAsia="方正仿宋_GBK" w:cs="Times New Roman"/>
                <w:color w:val="auto"/>
                <w:sz w:val="28"/>
                <w:szCs w:val="28"/>
              </w:rPr>
            </w:pPr>
          </w:p>
        </w:tc>
        <w:tc>
          <w:tcPr>
            <w:tcW w:w="1027" w:type="dxa"/>
            <w:vAlign w:val="center"/>
          </w:tcPr>
          <w:p w14:paraId="448818FB">
            <w:pPr>
              <w:spacing w:line="400" w:lineRule="exact"/>
              <w:jc w:val="center"/>
              <w:rPr>
                <w:rFonts w:ascii="Times New Roman" w:hAnsi="Times New Roman" w:eastAsia="方正仿宋_GBK" w:cs="Times New Roman"/>
                <w:color w:val="auto"/>
                <w:sz w:val="28"/>
                <w:szCs w:val="28"/>
              </w:rPr>
            </w:pPr>
          </w:p>
        </w:tc>
      </w:tr>
      <w:tr w14:paraId="1DFF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76BA122">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3</w:t>
            </w:r>
          </w:p>
        </w:tc>
        <w:tc>
          <w:tcPr>
            <w:tcW w:w="1631" w:type="dxa"/>
            <w:vAlign w:val="center"/>
          </w:tcPr>
          <w:p w14:paraId="1F7AA030">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文化宣传</w:t>
            </w:r>
          </w:p>
        </w:tc>
        <w:tc>
          <w:tcPr>
            <w:tcW w:w="795" w:type="dxa"/>
            <w:vAlign w:val="center"/>
          </w:tcPr>
          <w:p w14:paraId="33D0BA1D">
            <w:pPr>
              <w:spacing w:line="400" w:lineRule="exact"/>
              <w:jc w:val="center"/>
              <w:rPr>
                <w:rFonts w:ascii="Times New Roman" w:hAnsi="Times New Roman" w:cs="Times New Roman"/>
                <w:color w:val="auto"/>
                <w:sz w:val="28"/>
                <w:szCs w:val="28"/>
              </w:rPr>
            </w:pPr>
          </w:p>
        </w:tc>
        <w:tc>
          <w:tcPr>
            <w:tcW w:w="795" w:type="dxa"/>
            <w:vAlign w:val="center"/>
          </w:tcPr>
          <w:p w14:paraId="73A10816">
            <w:pPr>
              <w:spacing w:line="400" w:lineRule="exact"/>
              <w:jc w:val="center"/>
              <w:rPr>
                <w:rFonts w:ascii="Times New Roman" w:hAnsi="Times New Roman" w:cs="Times New Roman"/>
                <w:color w:val="auto"/>
                <w:sz w:val="28"/>
                <w:szCs w:val="28"/>
              </w:rPr>
            </w:pPr>
          </w:p>
        </w:tc>
        <w:tc>
          <w:tcPr>
            <w:tcW w:w="3116" w:type="dxa"/>
            <w:vAlign w:val="center"/>
          </w:tcPr>
          <w:p w14:paraId="5A156CFD">
            <w:pPr>
              <w:spacing w:line="400" w:lineRule="exact"/>
              <w:jc w:val="left"/>
              <w:rPr>
                <w:rFonts w:ascii="Times New Roman" w:hAnsi="Times New Roman" w:cs="Times New Roman"/>
                <w:color w:val="auto"/>
                <w:sz w:val="28"/>
                <w:szCs w:val="28"/>
              </w:rPr>
            </w:pPr>
          </w:p>
        </w:tc>
        <w:tc>
          <w:tcPr>
            <w:tcW w:w="795" w:type="dxa"/>
            <w:vAlign w:val="center"/>
          </w:tcPr>
          <w:p w14:paraId="1900D608">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项</w:t>
            </w:r>
          </w:p>
        </w:tc>
        <w:tc>
          <w:tcPr>
            <w:tcW w:w="571" w:type="dxa"/>
            <w:vAlign w:val="center"/>
          </w:tcPr>
          <w:p w14:paraId="3E7CF753">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c>
          <w:tcPr>
            <w:tcW w:w="901" w:type="dxa"/>
            <w:vAlign w:val="center"/>
          </w:tcPr>
          <w:p w14:paraId="255D19D3">
            <w:pPr>
              <w:spacing w:line="400" w:lineRule="exact"/>
              <w:jc w:val="center"/>
              <w:rPr>
                <w:rFonts w:ascii="Times New Roman" w:hAnsi="Times New Roman" w:cs="Times New Roman"/>
                <w:color w:val="auto"/>
                <w:sz w:val="28"/>
                <w:szCs w:val="28"/>
              </w:rPr>
            </w:pPr>
          </w:p>
        </w:tc>
        <w:tc>
          <w:tcPr>
            <w:tcW w:w="1027" w:type="dxa"/>
            <w:vAlign w:val="center"/>
          </w:tcPr>
          <w:p w14:paraId="38544577">
            <w:pPr>
              <w:spacing w:line="400" w:lineRule="exact"/>
              <w:jc w:val="center"/>
              <w:rPr>
                <w:rFonts w:ascii="Times New Roman" w:hAnsi="Times New Roman" w:cs="Times New Roman"/>
                <w:color w:val="auto"/>
                <w:sz w:val="28"/>
                <w:szCs w:val="28"/>
              </w:rPr>
            </w:pPr>
          </w:p>
          <w:p w14:paraId="7BC6778D">
            <w:pPr>
              <w:spacing w:line="400" w:lineRule="exact"/>
              <w:jc w:val="center"/>
              <w:rPr>
                <w:rFonts w:ascii="Times New Roman" w:hAnsi="Times New Roman" w:cs="Times New Roman"/>
                <w:color w:val="auto"/>
                <w:sz w:val="28"/>
                <w:szCs w:val="28"/>
              </w:rPr>
            </w:pPr>
          </w:p>
        </w:tc>
      </w:tr>
      <w:tr w14:paraId="5E0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shd w:val="clear" w:color="auto" w:fill="auto"/>
            <w:vAlign w:val="center"/>
          </w:tcPr>
          <w:p w14:paraId="1654BEA3">
            <w:pPr>
              <w:spacing w:line="400" w:lineRule="exact"/>
              <w:jc w:val="center"/>
              <w:rPr>
                <w:rFonts w:hint="eastAsia" w:ascii="Times New Roman" w:hAnsi="Times New Roman" w:eastAsia="宋体" w:cs="Times New Roman"/>
                <w:b/>
                <w:bCs/>
                <w:color w:val="auto"/>
                <w:kern w:val="2"/>
                <w:sz w:val="28"/>
                <w:szCs w:val="28"/>
                <w:lang w:val="en-US" w:eastAsia="zh-CN" w:bidi="ar-SA"/>
              </w:rPr>
            </w:pPr>
          </w:p>
        </w:tc>
        <w:tc>
          <w:tcPr>
            <w:tcW w:w="1631" w:type="dxa"/>
            <w:shd w:val="clear" w:color="auto" w:fill="auto"/>
            <w:vAlign w:val="center"/>
          </w:tcPr>
          <w:p w14:paraId="75FBC5C7">
            <w:pPr>
              <w:spacing w:line="400" w:lineRule="exact"/>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cs="Times New Roman"/>
                <w:b/>
                <w:bCs/>
                <w:color w:val="auto"/>
                <w:sz w:val="28"/>
                <w:szCs w:val="28"/>
                <w:lang w:val="en-US" w:eastAsia="zh-CN"/>
              </w:rPr>
              <w:t>总计（元）</w:t>
            </w:r>
          </w:p>
        </w:tc>
        <w:tc>
          <w:tcPr>
            <w:tcW w:w="795" w:type="dxa"/>
            <w:shd w:val="clear" w:color="auto" w:fill="auto"/>
            <w:vAlign w:val="center"/>
          </w:tcPr>
          <w:p w14:paraId="7DF58967">
            <w:pPr>
              <w:spacing w:line="400" w:lineRule="exact"/>
              <w:jc w:val="center"/>
              <w:rPr>
                <w:rFonts w:ascii="Times New Roman" w:hAnsi="Times New Roman" w:eastAsia="宋体" w:cs="Times New Roman"/>
                <w:b/>
                <w:bCs/>
                <w:color w:val="auto"/>
                <w:kern w:val="2"/>
                <w:sz w:val="28"/>
                <w:szCs w:val="28"/>
                <w:lang w:val="en-US" w:eastAsia="zh-CN" w:bidi="ar-SA"/>
              </w:rPr>
            </w:pPr>
          </w:p>
        </w:tc>
        <w:tc>
          <w:tcPr>
            <w:tcW w:w="795" w:type="dxa"/>
            <w:shd w:val="clear" w:color="auto" w:fill="auto"/>
            <w:vAlign w:val="center"/>
          </w:tcPr>
          <w:p w14:paraId="44FA3138">
            <w:pPr>
              <w:spacing w:line="400" w:lineRule="exact"/>
              <w:jc w:val="center"/>
              <w:rPr>
                <w:rFonts w:ascii="Times New Roman" w:hAnsi="Times New Roman" w:eastAsia="方正仿宋_GBK" w:cs="Times New Roman"/>
                <w:b/>
                <w:bCs/>
                <w:color w:val="auto"/>
                <w:kern w:val="2"/>
                <w:sz w:val="28"/>
                <w:szCs w:val="28"/>
                <w:lang w:val="en-US" w:eastAsia="zh-CN" w:bidi="ar-SA"/>
              </w:rPr>
            </w:pPr>
          </w:p>
        </w:tc>
        <w:tc>
          <w:tcPr>
            <w:tcW w:w="3116" w:type="dxa"/>
            <w:shd w:val="clear" w:color="auto" w:fill="auto"/>
            <w:vAlign w:val="center"/>
          </w:tcPr>
          <w:p w14:paraId="732CD5E6">
            <w:pPr>
              <w:spacing w:line="400" w:lineRule="exact"/>
              <w:rPr>
                <w:rFonts w:ascii="Times New Roman" w:hAnsi="Times New Roman" w:eastAsia="宋体" w:cs="Times New Roman"/>
                <w:b/>
                <w:bCs/>
                <w:color w:val="auto"/>
                <w:kern w:val="2"/>
                <w:sz w:val="28"/>
                <w:szCs w:val="28"/>
                <w:lang w:val="en-US" w:eastAsia="zh-CN" w:bidi="ar-SA"/>
              </w:rPr>
            </w:pPr>
          </w:p>
        </w:tc>
        <w:tc>
          <w:tcPr>
            <w:tcW w:w="795" w:type="dxa"/>
            <w:shd w:val="clear" w:color="auto" w:fill="auto"/>
            <w:vAlign w:val="center"/>
          </w:tcPr>
          <w:p w14:paraId="10D2C01C">
            <w:pPr>
              <w:spacing w:line="400" w:lineRule="exact"/>
              <w:jc w:val="center"/>
              <w:rPr>
                <w:rFonts w:hint="eastAsia" w:ascii="Times New Roman" w:hAnsi="Times New Roman" w:eastAsia="宋体" w:cs="Times New Roman"/>
                <w:b/>
                <w:bCs/>
                <w:color w:val="auto"/>
                <w:kern w:val="2"/>
                <w:sz w:val="28"/>
                <w:szCs w:val="28"/>
                <w:lang w:val="en-US" w:eastAsia="zh-CN" w:bidi="ar-SA"/>
              </w:rPr>
            </w:pPr>
          </w:p>
        </w:tc>
        <w:tc>
          <w:tcPr>
            <w:tcW w:w="571" w:type="dxa"/>
            <w:shd w:val="clear" w:color="auto" w:fill="auto"/>
            <w:vAlign w:val="center"/>
          </w:tcPr>
          <w:p w14:paraId="42529100">
            <w:pPr>
              <w:spacing w:line="400" w:lineRule="exact"/>
              <w:jc w:val="center"/>
              <w:rPr>
                <w:rFonts w:hint="eastAsia" w:ascii="Times New Roman" w:hAnsi="Times New Roman" w:eastAsia="方正仿宋_GBK" w:cs="Times New Roman"/>
                <w:b/>
                <w:bCs/>
                <w:color w:val="auto"/>
                <w:kern w:val="2"/>
                <w:sz w:val="28"/>
                <w:szCs w:val="28"/>
                <w:lang w:val="en-US" w:eastAsia="zh-CN" w:bidi="ar-SA"/>
              </w:rPr>
            </w:pPr>
          </w:p>
        </w:tc>
        <w:tc>
          <w:tcPr>
            <w:tcW w:w="901" w:type="dxa"/>
            <w:shd w:val="clear" w:color="auto" w:fill="auto"/>
            <w:vAlign w:val="center"/>
          </w:tcPr>
          <w:p w14:paraId="059F1D1D">
            <w:pPr>
              <w:spacing w:line="400" w:lineRule="exact"/>
              <w:jc w:val="center"/>
              <w:rPr>
                <w:rFonts w:ascii="Times New Roman" w:hAnsi="Times New Roman" w:eastAsia="宋体" w:cs="Times New Roman"/>
                <w:b/>
                <w:bCs/>
                <w:color w:val="auto"/>
                <w:kern w:val="2"/>
                <w:sz w:val="28"/>
                <w:szCs w:val="28"/>
                <w:lang w:val="en-US" w:eastAsia="zh-CN" w:bidi="ar-SA"/>
              </w:rPr>
            </w:pPr>
          </w:p>
        </w:tc>
        <w:tc>
          <w:tcPr>
            <w:tcW w:w="1027" w:type="dxa"/>
            <w:shd w:val="clear" w:color="auto" w:fill="auto"/>
            <w:vAlign w:val="center"/>
          </w:tcPr>
          <w:p w14:paraId="7FEB4566">
            <w:pPr>
              <w:spacing w:line="400" w:lineRule="exact"/>
              <w:jc w:val="center"/>
              <w:rPr>
                <w:rFonts w:ascii="Times New Roman" w:hAnsi="Times New Roman" w:eastAsia="宋体" w:cs="Times New Roman"/>
                <w:b/>
                <w:bCs/>
                <w:color w:val="auto"/>
                <w:kern w:val="2"/>
                <w:sz w:val="28"/>
                <w:szCs w:val="28"/>
                <w:lang w:val="en-US" w:eastAsia="zh-CN" w:bidi="ar-SA"/>
              </w:rPr>
            </w:pPr>
          </w:p>
        </w:tc>
      </w:tr>
    </w:tbl>
    <w:p w14:paraId="13432C8C">
      <w:pPr>
        <w:widowControl/>
        <w:numPr>
          <w:ilvl w:val="0"/>
          <w:numId w:val="0"/>
        </w:numPr>
        <w:spacing w:line="240" w:lineRule="auto"/>
        <w:ind w:leftChars="0"/>
        <w:jc w:val="left"/>
        <w:rPr>
          <w:rFonts w:hint="eastAsia" w:ascii="Times New Roman" w:hAnsi="Times New Roman" w:eastAsia="方正黑体_GBK" w:cs="Times New Roman"/>
          <w:bCs/>
          <w:color w:val="auto"/>
          <w:sz w:val="32"/>
          <w:szCs w:val="32"/>
        </w:rPr>
      </w:pPr>
    </w:p>
    <w:p w14:paraId="66BE2012">
      <w:pPr>
        <w:widowControl/>
        <w:numPr>
          <w:ilvl w:val="0"/>
          <w:numId w:val="0"/>
        </w:numPr>
        <w:spacing w:line="240" w:lineRule="auto"/>
        <w:ind w:leftChars="0"/>
        <w:jc w:val="left"/>
        <w:rPr>
          <w:rFonts w:hint="eastAsia" w:ascii="Times New Roman" w:hAnsi="Times New Roman" w:eastAsia="方正黑体_GBK" w:cs="Times New Roman"/>
          <w:bCs/>
          <w:color w:val="auto"/>
          <w:sz w:val="32"/>
          <w:szCs w:val="32"/>
        </w:rPr>
      </w:pPr>
    </w:p>
    <w:p w14:paraId="17404478">
      <w:pPr>
        <w:widowControl/>
        <w:numPr>
          <w:ilvl w:val="0"/>
          <w:numId w:val="0"/>
        </w:numPr>
        <w:spacing w:line="240" w:lineRule="auto"/>
        <w:ind w:leftChars="0"/>
        <w:jc w:val="left"/>
        <w:rPr>
          <w:rFonts w:hint="eastAsia"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lang w:val="en-US" w:eastAsia="zh-CN"/>
        </w:rPr>
        <w:t>3.</w:t>
      </w:r>
      <w:r>
        <w:rPr>
          <w:rFonts w:hint="eastAsia" w:ascii="Times New Roman" w:hAnsi="Times New Roman" w:eastAsia="方正黑体_GBK" w:cs="Times New Roman"/>
          <w:bCs/>
          <w:color w:val="auto"/>
          <w:sz w:val="32"/>
          <w:szCs w:val="32"/>
        </w:rPr>
        <w:t>工科综合实验室建设方案预算表</w:t>
      </w:r>
    </w:p>
    <w:tbl>
      <w:tblPr>
        <w:tblStyle w:val="43"/>
        <w:tblpPr w:leftFromText="180" w:rightFromText="180" w:vertAnchor="text" w:horzAnchor="page" w:tblpXSpec="center" w:tblpY="250"/>
        <w:tblOverlap w:val="never"/>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95"/>
        <w:gridCol w:w="830"/>
        <w:gridCol w:w="960"/>
        <w:gridCol w:w="840"/>
        <w:gridCol w:w="1065"/>
        <w:gridCol w:w="3301"/>
      </w:tblGrid>
      <w:tr w14:paraId="07C0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F2B4E3">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395" w:type="dxa"/>
            <w:vAlign w:val="center"/>
          </w:tcPr>
          <w:p w14:paraId="289A869A">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名称</w:t>
            </w:r>
          </w:p>
        </w:tc>
        <w:tc>
          <w:tcPr>
            <w:tcW w:w="830" w:type="dxa"/>
            <w:vAlign w:val="center"/>
          </w:tcPr>
          <w:p w14:paraId="5472AE5B">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单位</w:t>
            </w:r>
          </w:p>
        </w:tc>
        <w:tc>
          <w:tcPr>
            <w:tcW w:w="960" w:type="dxa"/>
            <w:vAlign w:val="center"/>
          </w:tcPr>
          <w:p w14:paraId="68C53A68">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数量</w:t>
            </w:r>
          </w:p>
        </w:tc>
        <w:tc>
          <w:tcPr>
            <w:tcW w:w="840" w:type="dxa"/>
            <w:vAlign w:val="center"/>
          </w:tcPr>
          <w:p w14:paraId="7E933A17">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单价(元)</w:t>
            </w:r>
          </w:p>
        </w:tc>
        <w:tc>
          <w:tcPr>
            <w:tcW w:w="1065" w:type="dxa"/>
            <w:vAlign w:val="center"/>
          </w:tcPr>
          <w:p w14:paraId="2780BC75">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合计(元)</w:t>
            </w:r>
          </w:p>
        </w:tc>
        <w:tc>
          <w:tcPr>
            <w:tcW w:w="3301" w:type="dxa"/>
            <w:vAlign w:val="center"/>
          </w:tcPr>
          <w:p w14:paraId="389F4158">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备注</w:t>
            </w:r>
          </w:p>
        </w:tc>
      </w:tr>
      <w:tr w14:paraId="1ED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8143732">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1</w:t>
            </w:r>
          </w:p>
        </w:tc>
        <w:tc>
          <w:tcPr>
            <w:tcW w:w="1395" w:type="dxa"/>
            <w:vAlign w:val="center"/>
          </w:tcPr>
          <w:p w14:paraId="7114E570">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实验室整体搬迁</w:t>
            </w:r>
          </w:p>
        </w:tc>
        <w:tc>
          <w:tcPr>
            <w:tcW w:w="830" w:type="dxa"/>
            <w:vAlign w:val="center"/>
          </w:tcPr>
          <w:p w14:paraId="760BDC47">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项</w:t>
            </w:r>
          </w:p>
        </w:tc>
        <w:tc>
          <w:tcPr>
            <w:tcW w:w="960" w:type="dxa"/>
            <w:vAlign w:val="center"/>
          </w:tcPr>
          <w:p w14:paraId="4809FE33">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c>
          <w:tcPr>
            <w:tcW w:w="840" w:type="dxa"/>
            <w:vAlign w:val="center"/>
          </w:tcPr>
          <w:p w14:paraId="3E0D5896">
            <w:pPr>
              <w:spacing w:line="400" w:lineRule="exact"/>
              <w:jc w:val="center"/>
              <w:rPr>
                <w:rFonts w:ascii="Times New Roman" w:hAnsi="Times New Roman" w:cs="Times New Roman"/>
                <w:color w:val="auto"/>
                <w:sz w:val="28"/>
                <w:szCs w:val="28"/>
              </w:rPr>
            </w:pPr>
          </w:p>
        </w:tc>
        <w:tc>
          <w:tcPr>
            <w:tcW w:w="1065" w:type="dxa"/>
            <w:vAlign w:val="center"/>
          </w:tcPr>
          <w:p w14:paraId="3406C53F">
            <w:pPr>
              <w:spacing w:line="400" w:lineRule="exact"/>
              <w:jc w:val="center"/>
              <w:rPr>
                <w:rFonts w:ascii="Times New Roman" w:hAnsi="Times New Roman" w:cs="Times New Roman"/>
                <w:color w:val="auto"/>
                <w:sz w:val="28"/>
                <w:szCs w:val="28"/>
              </w:rPr>
            </w:pPr>
          </w:p>
        </w:tc>
        <w:tc>
          <w:tcPr>
            <w:tcW w:w="3301" w:type="dxa"/>
            <w:vAlign w:val="center"/>
          </w:tcPr>
          <w:p w14:paraId="3F7D4806">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搬迁后布局合理、设备状态良好</w:t>
            </w:r>
          </w:p>
        </w:tc>
      </w:tr>
      <w:tr w14:paraId="065A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F8D20AC">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2</w:t>
            </w:r>
          </w:p>
        </w:tc>
        <w:tc>
          <w:tcPr>
            <w:tcW w:w="1395" w:type="dxa"/>
            <w:vAlign w:val="center"/>
          </w:tcPr>
          <w:p w14:paraId="772512A3">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线路</w:t>
            </w:r>
            <w:r>
              <w:rPr>
                <w:rFonts w:ascii="Times New Roman" w:hAnsi="Times New Roman" w:cs="Times New Roman"/>
                <w:color w:val="auto"/>
                <w:sz w:val="28"/>
                <w:szCs w:val="28"/>
              </w:rPr>
              <w:t>改造</w:t>
            </w:r>
          </w:p>
        </w:tc>
        <w:tc>
          <w:tcPr>
            <w:tcW w:w="830" w:type="dxa"/>
            <w:vAlign w:val="center"/>
          </w:tcPr>
          <w:p w14:paraId="462426EF">
            <w:pPr>
              <w:spacing w:line="400" w:lineRule="exact"/>
              <w:jc w:val="center"/>
              <w:rPr>
                <w:rFonts w:ascii="Times New Roman" w:hAnsi="Times New Roman" w:eastAsia="方正仿宋_GBK" w:cs="Times New Roman"/>
                <w:color w:val="auto"/>
                <w:sz w:val="28"/>
                <w:szCs w:val="28"/>
              </w:rPr>
            </w:pPr>
            <w:r>
              <w:rPr>
                <w:rFonts w:ascii="Times New Roman" w:hAnsi="Times New Roman" w:cs="Times New Roman"/>
                <w:color w:val="auto"/>
                <w:sz w:val="28"/>
                <w:szCs w:val="28"/>
              </w:rPr>
              <w:t>项</w:t>
            </w:r>
          </w:p>
        </w:tc>
        <w:tc>
          <w:tcPr>
            <w:tcW w:w="960" w:type="dxa"/>
            <w:vAlign w:val="center"/>
          </w:tcPr>
          <w:p w14:paraId="5D2E6BE3">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c>
          <w:tcPr>
            <w:tcW w:w="840" w:type="dxa"/>
            <w:vAlign w:val="center"/>
          </w:tcPr>
          <w:p w14:paraId="649F893B">
            <w:pPr>
              <w:spacing w:line="400" w:lineRule="exact"/>
              <w:jc w:val="center"/>
              <w:rPr>
                <w:rFonts w:ascii="Times New Roman" w:hAnsi="Times New Roman" w:eastAsia="方正仿宋_GBK" w:cs="Times New Roman"/>
                <w:color w:val="auto"/>
                <w:sz w:val="28"/>
                <w:szCs w:val="28"/>
              </w:rPr>
            </w:pPr>
          </w:p>
        </w:tc>
        <w:tc>
          <w:tcPr>
            <w:tcW w:w="1065" w:type="dxa"/>
            <w:vAlign w:val="center"/>
          </w:tcPr>
          <w:p w14:paraId="1AC5E2D2">
            <w:pPr>
              <w:spacing w:line="400" w:lineRule="exact"/>
              <w:jc w:val="center"/>
              <w:rPr>
                <w:rFonts w:ascii="Times New Roman" w:hAnsi="Times New Roman" w:eastAsia="方正仿宋_GBK" w:cs="Times New Roman"/>
                <w:color w:val="auto"/>
                <w:sz w:val="28"/>
                <w:szCs w:val="28"/>
              </w:rPr>
            </w:pPr>
          </w:p>
        </w:tc>
        <w:tc>
          <w:tcPr>
            <w:tcW w:w="3301" w:type="dxa"/>
            <w:vAlign w:val="center"/>
          </w:tcPr>
          <w:p w14:paraId="76D8B21D">
            <w:pPr>
              <w:spacing w:line="400" w:lineRule="exact"/>
              <w:jc w:val="left"/>
              <w:rPr>
                <w:rFonts w:ascii="Times New Roman" w:hAnsi="Times New Roman" w:eastAsia="方正仿宋_GBK" w:cs="Times New Roman"/>
                <w:color w:val="auto"/>
                <w:sz w:val="28"/>
                <w:szCs w:val="28"/>
              </w:rPr>
            </w:pPr>
            <w:r>
              <w:rPr>
                <w:rFonts w:ascii="Times New Roman" w:hAnsi="Times New Roman" w:cs="Times New Roman"/>
                <w:color w:val="auto"/>
                <w:sz w:val="28"/>
                <w:szCs w:val="28"/>
              </w:rPr>
              <w:t>网络、电源布线</w:t>
            </w:r>
          </w:p>
        </w:tc>
      </w:tr>
      <w:tr w14:paraId="54E1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B224D49">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3</w:t>
            </w:r>
          </w:p>
        </w:tc>
        <w:tc>
          <w:tcPr>
            <w:tcW w:w="1395" w:type="dxa"/>
            <w:vAlign w:val="center"/>
          </w:tcPr>
          <w:p w14:paraId="2C236D96">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文化宣传</w:t>
            </w:r>
          </w:p>
        </w:tc>
        <w:tc>
          <w:tcPr>
            <w:tcW w:w="830" w:type="dxa"/>
            <w:vAlign w:val="center"/>
          </w:tcPr>
          <w:p w14:paraId="236AD2BE">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项</w:t>
            </w:r>
          </w:p>
        </w:tc>
        <w:tc>
          <w:tcPr>
            <w:tcW w:w="960" w:type="dxa"/>
            <w:vAlign w:val="center"/>
          </w:tcPr>
          <w:p w14:paraId="6B2B19B8">
            <w:pPr>
              <w:spacing w:line="400" w:lineRule="exact"/>
              <w:jc w:val="center"/>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w:t>
            </w:r>
          </w:p>
        </w:tc>
        <w:tc>
          <w:tcPr>
            <w:tcW w:w="840" w:type="dxa"/>
            <w:vAlign w:val="center"/>
          </w:tcPr>
          <w:p w14:paraId="244E761D">
            <w:pPr>
              <w:spacing w:line="400" w:lineRule="exact"/>
              <w:jc w:val="center"/>
              <w:rPr>
                <w:rFonts w:ascii="Times New Roman" w:hAnsi="Times New Roman" w:eastAsia="方正仿宋_GBK" w:cs="Times New Roman"/>
                <w:color w:val="auto"/>
                <w:sz w:val="28"/>
                <w:szCs w:val="28"/>
              </w:rPr>
            </w:pPr>
          </w:p>
        </w:tc>
        <w:tc>
          <w:tcPr>
            <w:tcW w:w="1065" w:type="dxa"/>
            <w:vAlign w:val="center"/>
          </w:tcPr>
          <w:p w14:paraId="57C2861F">
            <w:pPr>
              <w:spacing w:line="400" w:lineRule="exact"/>
              <w:jc w:val="center"/>
              <w:rPr>
                <w:rFonts w:ascii="Times New Roman" w:hAnsi="Times New Roman" w:eastAsia="方正仿宋_GBK" w:cs="Times New Roman"/>
                <w:color w:val="auto"/>
                <w:sz w:val="28"/>
                <w:szCs w:val="28"/>
              </w:rPr>
            </w:pPr>
          </w:p>
        </w:tc>
        <w:tc>
          <w:tcPr>
            <w:tcW w:w="3301" w:type="dxa"/>
            <w:vAlign w:val="center"/>
          </w:tcPr>
          <w:p w14:paraId="3EB1C759">
            <w:pPr>
              <w:spacing w:line="400" w:lineRule="exact"/>
              <w:jc w:val="left"/>
              <w:rPr>
                <w:rFonts w:ascii="Times New Roman" w:hAnsi="Times New Roman" w:eastAsia="方正仿宋_GBK" w:cs="Times New Roman"/>
                <w:color w:val="auto"/>
                <w:sz w:val="28"/>
                <w:szCs w:val="28"/>
              </w:rPr>
            </w:pPr>
            <w:r>
              <w:rPr>
                <w:rFonts w:hint="eastAsia" w:ascii="Times New Roman" w:hAnsi="Times New Roman" w:cs="Times New Roman"/>
                <w:color w:val="auto"/>
                <w:sz w:val="28"/>
                <w:szCs w:val="28"/>
              </w:rPr>
              <w:t>文化墙</w:t>
            </w:r>
          </w:p>
        </w:tc>
      </w:tr>
      <w:tr w14:paraId="0E28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DBF760C">
            <w:pPr>
              <w:spacing w:line="400" w:lineRule="exact"/>
              <w:jc w:val="center"/>
              <w:rPr>
                <w:rFonts w:hint="eastAsia" w:ascii="Times New Roman" w:hAnsi="Times New Roman" w:cs="Times New Roman"/>
                <w:color w:val="auto"/>
                <w:sz w:val="28"/>
                <w:szCs w:val="28"/>
              </w:rPr>
            </w:pPr>
          </w:p>
        </w:tc>
        <w:tc>
          <w:tcPr>
            <w:tcW w:w="1395" w:type="dxa"/>
            <w:shd w:val="clear" w:color="auto" w:fill="auto"/>
            <w:vAlign w:val="center"/>
          </w:tcPr>
          <w:p w14:paraId="59EC4AA2">
            <w:pPr>
              <w:spacing w:line="400" w:lineRule="exact"/>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cs="Times New Roman"/>
                <w:b/>
                <w:bCs/>
                <w:color w:val="auto"/>
                <w:sz w:val="28"/>
                <w:szCs w:val="28"/>
                <w:lang w:val="en-US" w:eastAsia="zh-CN"/>
              </w:rPr>
              <w:t>总计（元）</w:t>
            </w:r>
          </w:p>
        </w:tc>
        <w:tc>
          <w:tcPr>
            <w:tcW w:w="830" w:type="dxa"/>
            <w:shd w:val="clear" w:color="auto" w:fill="auto"/>
            <w:vAlign w:val="center"/>
          </w:tcPr>
          <w:p w14:paraId="45DADC71">
            <w:pPr>
              <w:spacing w:line="400" w:lineRule="exact"/>
              <w:jc w:val="center"/>
              <w:rPr>
                <w:rFonts w:hint="eastAsia" w:ascii="Times New Roman" w:hAnsi="Times New Roman" w:eastAsia="宋体" w:cs="Times New Roman"/>
                <w:b/>
                <w:bCs/>
                <w:color w:val="auto"/>
                <w:kern w:val="2"/>
                <w:sz w:val="28"/>
                <w:szCs w:val="28"/>
                <w:lang w:val="en-US" w:eastAsia="zh-CN" w:bidi="ar-SA"/>
              </w:rPr>
            </w:pPr>
          </w:p>
        </w:tc>
        <w:tc>
          <w:tcPr>
            <w:tcW w:w="960" w:type="dxa"/>
            <w:vAlign w:val="center"/>
          </w:tcPr>
          <w:p w14:paraId="1F84321D">
            <w:pPr>
              <w:spacing w:line="400" w:lineRule="exact"/>
              <w:jc w:val="center"/>
              <w:rPr>
                <w:rFonts w:hint="eastAsia" w:ascii="Times New Roman" w:hAnsi="Times New Roman" w:eastAsia="方正仿宋_GBK" w:cs="Times New Roman"/>
                <w:color w:val="auto"/>
                <w:sz w:val="28"/>
                <w:szCs w:val="28"/>
              </w:rPr>
            </w:pPr>
          </w:p>
        </w:tc>
        <w:tc>
          <w:tcPr>
            <w:tcW w:w="840" w:type="dxa"/>
            <w:vAlign w:val="center"/>
          </w:tcPr>
          <w:p w14:paraId="412156E9">
            <w:pPr>
              <w:spacing w:line="400" w:lineRule="exact"/>
              <w:jc w:val="center"/>
              <w:rPr>
                <w:rFonts w:ascii="Times New Roman" w:hAnsi="Times New Roman" w:eastAsia="方正仿宋_GBK" w:cs="Times New Roman"/>
                <w:color w:val="auto"/>
                <w:sz w:val="28"/>
                <w:szCs w:val="28"/>
              </w:rPr>
            </w:pPr>
          </w:p>
        </w:tc>
        <w:tc>
          <w:tcPr>
            <w:tcW w:w="1065" w:type="dxa"/>
            <w:vAlign w:val="center"/>
          </w:tcPr>
          <w:p w14:paraId="24A2AC37">
            <w:pPr>
              <w:spacing w:line="400" w:lineRule="exact"/>
              <w:jc w:val="center"/>
              <w:rPr>
                <w:rFonts w:ascii="Times New Roman" w:hAnsi="Times New Roman" w:eastAsia="方正仿宋_GBK" w:cs="Times New Roman"/>
                <w:color w:val="auto"/>
                <w:sz w:val="28"/>
                <w:szCs w:val="28"/>
              </w:rPr>
            </w:pPr>
          </w:p>
        </w:tc>
        <w:tc>
          <w:tcPr>
            <w:tcW w:w="3301" w:type="dxa"/>
            <w:vAlign w:val="center"/>
          </w:tcPr>
          <w:p w14:paraId="2635A03A">
            <w:pPr>
              <w:spacing w:line="400" w:lineRule="exact"/>
              <w:jc w:val="left"/>
              <w:rPr>
                <w:rFonts w:hint="eastAsia" w:ascii="Times New Roman" w:hAnsi="Times New Roman" w:cs="Times New Roman"/>
                <w:color w:val="auto"/>
                <w:sz w:val="28"/>
                <w:szCs w:val="28"/>
              </w:rPr>
            </w:pPr>
          </w:p>
        </w:tc>
      </w:tr>
    </w:tbl>
    <w:p w14:paraId="0FA7CDC8">
      <w:pPr>
        <w:rPr>
          <w:rFonts w:ascii="Times New Roman" w:hAnsi="Times New Roman" w:eastAsia="方正小标宋_GBK" w:cs="Times New Roman"/>
          <w:color w:val="auto"/>
        </w:rPr>
      </w:pPr>
    </w:p>
    <w:p w14:paraId="4370B0DD">
      <w:pPr>
        <w:rPr>
          <w:rFonts w:ascii="Times New Roman" w:hAnsi="Times New Roman" w:eastAsia="方正小标宋_GBK" w:cs="Times New Roman"/>
          <w:color w:val="auto"/>
        </w:rPr>
      </w:pPr>
      <w:r>
        <w:rPr>
          <w:rFonts w:hint="eastAsia" w:ascii="Times New Roman" w:hAnsi="Times New Roman" w:eastAsia="方正小标宋_GBK" w:cs="Times New Roman"/>
          <w:color w:val="auto"/>
        </w:rPr>
        <w:t>注:投标产品须满足国家物联网、通信设备及电子信息系统行业标准，性能达到高校专业教学与行业级应用开发需求；通信协议须原生支持MQTT等标准物联网协议，保障系统的开放性、互联互通及可扩展能力</w:t>
      </w:r>
    </w:p>
    <w:p w14:paraId="7B75E16B">
      <w:pPr>
        <w:spacing w:line="500" w:lineRule="exact"/>
        <w:rPr>
          <w:rFonts w:hint="eastAsia" w:cs="方正仿宋_GBK" w:asciiTheme="minorEastAsia" w:hAnsiTheme="minorEastAsia" w:eastAsiaTheme="minorEastAsia"/>
          <w:color w:val="auto"/>
          <w:sz w:val="24"/>
          <w:szCs w:val="28"/>
          <w:highlight w:val="none"/>
        </w:rPr>
      </w:pPr>
    </w:p>
    <w:p w14:paraId="48A36F9C">
      <w:pPr>
        <w:spacing w:line="500" w:lineRule="exact"/>
        <w:rPr>
          <w:rFonts w:hint="eastAsia" w:cs="方正仿宋_GBK" w:asciiTheme="minorEastAsia" w:hAnsiTheme="minorEastAsia" w:eastAsiaTheme="minorEastAsia"/>
          <w:color w:val="auto"/>
          <w:sz w:val="24"/>
          <w:szCs w:val="28"/>
          <w:highlight w:val="none"/>
        </w:rPr>
      </w:pPr>
    </w:p>
    <w:p w14:paraId="5832ADA2">
      <w:pPr>
        <w:spacing w:line="500" w:lineRule="exact"/>
        <w:jc w:val="both"/>
        <w:rPr>
          <w:rFonts w:hint="eastAsia" w:asciiTheme="minorEastAsia" w:hAnsiTheme="minorEastAsia" w:eastAsiaTheme="minorEastAsia"/>
          <w:bCs/>
          <w:color w:val="auto"/>
          <w:sz w:val="28"/>
          <w:szCs w:val="28"/>
        </w:rPr>
      </w:pPr>
      <w:r>
        <w:rPr>
          <w:rFonts w:hint="eastAsia" w:cs="方正仿宋_GBK" w:asciiTheme="minorEastAsia" w:hAnsiTheme="minorEastAsia" w:eastAsiaTheme="minorEastAsia"/>
          <w:color w:val="auto"/>
          <w:sz w:val="24"/>
          <w:szCs w:val="28"/>
          <w:highlight w:val="none"/>
        </w:rPr>
        <w:t>投标人</w:t>
      </w:r>
      <w:r>
        <w:rPr>
          <w:rFonts w:hint="eastAsia" w:cs="方正仿宋_GBK" w:asciiTheme="minorEastAsia" w:hAnsiTheme="minorEastAsia" w:eastAsiaTheme="minorEastAsia"/>
          <w:color w:val="auto"/>
          <w:sz w:val="24"/>
          <w:szCs w:val="28"/>
          <w:highlight w:val="none"/>
          <w:lang w:val="en-US" w:eastAsia="zh-CN"/>
        </w:rPr>
        <w:t>名称</w:t>
      </w:r>
      <w:r>
        <w:rPr>
          <w:rFonts w:hint="eastAsia" w:cs="方正仿宋_GBK" w:asciiTheme="minorEastAsia" w:hAnsiTheme="minorEastAsia" w:eastAsiaTheme="minorEastAsia"/>
          <w:color w:val="auto"/>
          <w:sz w:val="24"/>
          <w:szCs w:val="28"/>
          <w:highlight w:val="none"/>
        </w:rPr>
        <w:t xml:space="preserve">：             </w:t>
      </w:r>
      <w:r>
        <w:rPr>
          <w:rFonts w:hint="eastAsia" w:cs="方正仿宋_GBK" w:asciiTheme="minorEastAsia" w:hAnsiTheme="minorEastAsia" w:eastAsiaTheme="minorEastAsia"/>
          <w:color w:val="auto"/>
          <w:sz w:val="24"/>
          <w:szCs w:val="28"/>
          <w:highlight w:val="none"/>
          <w:lang w:val="en-US" w:eastAsia="zh-CN"/>
        </w:rPr>
        <w:t xml:space="preserve">        </w:t>
      </w:r>
      <w:r>
        <w:rPr>
          <w:rFonts w:hint="eastAsia" w:cs="方正仿宋_GBK" w:asciiTheme="minorEastAsia" w:hAnsiTheme="minorEastAsia" w:eastAsiaTheme="minorEastAsia"/>
          <w:color w:val="auto"/>
          <w:sz w:val="24"/>
          <w:szCs w:val="28"/>
          <w:highlight w:val="none"/>
        </w:rPr>
        <w:t xml:space="preserve"> </w:t>
      </w:r>
      <w:r>
        <w:rPr>
          <w:rFonts w:hint="eastAsia" w:asciiTheme="minorEastAsia" w:hAnsiTheme="minorEastAsia" w:eastAsiaTheme="minorEastAsia"/>
          <w:color w:val="auto"/>
          <w:sz w:val="28"/>
          <w:szCs w:val="28"/>
        </w:rPr>
        <w:t>法定代表人或授权代表（签字）</w:t>
      </w:r>
      <w:r>
        <w:rPr>
          <w:rFonts w:hint="eastAsia" w:asciiTheme="minorEastAsia" w:hAnsiTheme="minorEastAsia" w:eastAsiaTheme="minorEastAsia"/>
          <w:bCs/>
          <w:color w:val="auto"/>
          <w:sz w:val="28"/>
          <w:szCs w:val="28"/>
        </w:rPr>
        <w:t>：</w:t>
      </w:r>
    </w:p>
    <w:p w14:paraId="4F89C600">
      <w:pPr>
        <w:spacing w:line="500" w:lineRule="exact"/>
        <w:ind w:firstLine="2160" w:firstLineChars="900"/>
        <w:jc w:val="both"/>
        <w:rPr>
          <w:rFonts w:hint="eastAsia" w:asciiTheme="minorEastAsia" w:hAnsiTheme="minorEastAsia" w:eastAsiaTheme="minorEastAsia"/>
          <w:bCs/>
          <w:color w:val="auto"/>
          <w:sz w:val="28"/>
          <w:szCs w:val="28"/>
        </w:rPr>
      </w:pPr>
      <w:r>
        <w:rPr>
          <w:rFonts w:hint="eastAsia" w:cs="方正仿宋_GBK" w:asciiTheme="minorEastAsia" w:hAnsiTheme="minorEastAsia" w:eastAsiaTheme="minorEastAsia"/>
          <w:color w:val="auto"/>
          <w:sz w:val="24"/>
          <w:szCs w:val="28"/>
          <w:highlight w:val="none"/>
          <w:lang w:eastAsia="zh-CN"/>
        </w:rPr>
        <w:t>（</w:t>
      </w:r>
      <w:r>
        <w:rPr>
          <w:rFonts w:hint="eastAsia" w:cs="方正仿宋_GBK" w:asciiTheme="minorEastAsia" w:hAnsiTheme="minorEastAsia" w:eastAsiaTheme="minorEastAsia"/>
          <w:color w:val="auto"/>
          <w:sz w:val="24"/>
          <w:szCs w:val="28"/>
          <w:highlight w:val="none"/>
          <w:lang w:val="en-US" w:eastAsia="zh-CN"/>
        </w:rPr>
        <w:t>公章</w:t>
      </w:r>
      <w:r>
        <w:rPr>
          <w:rFonts w:hint="eastAsia" w:cs="方正仿宋_GBK" w:asciiTheme="minorEastAsia" w:hAnsiTheme="minorEastAsia" w:eastAsiaTheme="minorEastAsia"/>
          <w:color w:val="auto"/>
          <w:sz w:val="24"/>
          <w:szCs w:val="28"/>
          <w:highlight w:val="none"/>
          <w:lang w:eastAsia="zh-CN"/>
        </w:rPr>
        <w:t>）</w:t>
      </w:r>
      <w:r>
        <w:rPr>
          <w:rFonts w:hint="eastAsia" w:cs="方正仿宋_GBK" w:asciiTheme="minorEastAsia" w:hAnsiTheme="minorEastAsia" w:eastAsiaTheme="minorEastAsia"/>
          <w:color w:val="auto"/>
          <w:sz w:val="24"/>
          <w:szCs w:val="28"/>
          <w:highlight w:val="none"/>
          <w:lang w:val="en-US" w:eastAsia="zh-CN"/>
        </w:rPr>
        <w:t xml:space="preserve">        </w:t>
      </w:r>
      <w:r>
        <w:rPr>
          <w:rFonts w:hint="eastAsia" w:asciiTheme="minorEastAsia" w:hAnsiTheme="minorEastAsia" w:eastAsiaTheme="minorEastAsia"/>
          <w:bCs/>
          <w:color w:val="auto"/>
          <w:sz w:val="28"/>
          <w:szCs w:val="28"/>
        </w:rPr>
        <w:t>投标日期:</w:t>
      </w:r>
    </w:p>
    <w:p w14:paraId="4EE2C02A">
      <w:pPr>
        <w:tabs>
          <w:tab w:val="left" w:pos="6300"/>
        </w:tabs>
        <w:snapToGrid w:val="0"/>
        <w:spacing w:line="500" w:lineRule="exact"/>
        <w:ind w:firstLine="570"/>
        <w:rPr>
          <w:rFonts w:cs="方正仿宋_GBK" w:asciiTheme="minorEastAsia" w:hAnsiTheme="minorEastAsia" w:eastAsiaTheme="minorEastAsia"/>
          <w:color w:val="auto"/>
          <w:sz w:val="24"/>
          <w:highlight w:val="none"/>
        </w:rPr>
      </w:pPr>
    </w:p>
    <w:p w14:paraId="08741B09">
      <w:pPr>
        <w:snapToGrid w:val="0"/>
        <w:spacing w:line="500" w:lineRule="exact"/>
        <w:rPr>
          <w:rFonts w:hint="eastAsia" w:cs="方正仿宋_GBK" w:asciiTheme="minorEastAsia" w:hAnsiTheme="minorEastAsia" w:eastAsiaTheme="minorEastAsia"/>
          <w:b/>
          <w:bCs/>
          <w:color w:val="auto"/>
          <w:sz w:val="24"/>
          <w:szCs w:val="28"/>
          <w:highlight w:val="none"/>
        </w:rPr>
      </w:pPr>
    </w:p>
    <w:p w14:paraId="0A6242F4">
      <w:pPr>
        <w:snapToGrid w:val="0"/>
        <w:spacing w:line="500" w:lineRule="exact"/>
        <w:rPr>
          <w:rFonts w:hint="eastAsia" w:cs="方正仿宋_GBK" w:asciiTheme="minorEastAsia" w:hAnsiTheme="minorEastAsia" w:eastAsiaTheme="minorEastAsia"/>
          <w:b/>
          <w:bCs/>
          <w:color w:val="auto"/>
          <w:sz w:val="24"/>
          <w:szCs w:val="28"/>
          <w:highlight w:val="none"/>
        </w:rPr>
      </w:pPr>
    </w:p>
    <w:p w14:paraId="16104876">
      <w:pPr>
        <w:snapToGrid w:val="0"/>
        <w:spacing w:line="500" w:lineRule="exact"/>
        <w:rPr>
          <w:rFonts w:hint="eastAsia" w:ascii="Times New Roman" w:hAnsi="Times New Roman" w:cs="Times New Roman" w:eastAsiaTheme="minorEastAsia"/>
          <w:color w:val="auto"/>
          <w:lang w:eastAsia="zh-CN"/>
        </w:rPr>
      </w:pPr>
      <w:r>
        <w:rPr>
          <w:rFonts w:hint="eastAsia" w:cs="方正仿宋_GBK" w:asciiTheme="minorEastAsia" w:hAnsiTheme="minorEastAsia" w:eastAsiaTheme="minorEastAsia"/>
          <w:b/>
          <w:bCs/>
          <w:color w:val="auto"/>
          <w:sz w:val="24"/>
          <w:szCs w:val="28"/>
          <w:highlight w:val="none"/>
        </w:rPr>
        <w:t>注：</w:t>
      </w:r>
      <w:r>
        <w:rPr>
          <w:rFonts w:hint="eastAsia" w:cs="方正仿宋_GBK" w:asciiTheme="minorEastAsia" w:hAnsiTheme="minorEastAsia" w:eastAsiaTheme="minorEastAsia"/>
          <w:color w:val="auto"/>
          <w:sz w:val="24"/>
          <w:szCs w:val="28"/>
          <w:highlight w:val="none"/>
        </w:rPr>
        <w:t>请投标人完整填写本表</w:t>
      </w:r>
      <w:r>
        <w:rPr>
          <w:rFonts w:hint="eastAsia" w:cs="方正仿宋_GBK" w:asciiTheme="minorEastAsia" w:hAnsiTheme="minorEastAsia" w:eastAsiaTheme="minorEastAsia"/>
          <w:color w:val="auto"/>
          <w:sz w:val="24"/>
          <w:szCs w:val="28"/>
          <w:highlight w:val="none"/>
          <w:lang w:eastAsia="zh-CN"/>
        </w:rPr>
        <w:t>。</w:t>
      </w:r>
    </w:p>
    <w:p w14:paraId="3DAEC5D8">
      <w:pPr>
        <w:rPr>
          <w:rFonts w:ascii="Times New Roman" w:hAnsi="Times New Roman" w:eastAsia="方正小标宋_GBK" w:cs="Times New Roman"/>
          <w:color w:val="auto"/>
        </w:rPr>
      </w:pPr>
    </w:p>
    <w:p w14:paraId="08C43907">
      <w:pPr>
        <w:rPr>
          <w:rFonts w:ascii="Times New Roman" w:hAnsi="Times New Roman" w:eastAsia="方正小标宋_GBK" w:cs="Times New Roman"/>
          <w:color w:val="auto"/>
        </w:rPr>
      </w:pPr>
    </w:p>
    <w:p w14:paraId="5C6CC7B9">
      <w:pPr>
        <w:rPr>
          <w:rFonts w:ascii="Times New Roman" w:hAnsi="Times New Roman" w:eastAsia="方正小标宋_GBK" w:cs="Times New Roman"/>
          <w:color w:val="auto"/>
        </w:rPr>
      </w:pPr>
    </w:p>
    <w:p w14:paraId="544D44BC">
      <w:pPr>
        <w:rPr>
          <w:rFonts w:ascii="Times New Roman" w:hAnsi="Times New Roman" w:eastAsia="方正小标宋_GBK" w:cs="Times New Roman"/>
          <w:color w:val="auto"/>
        </w:rPr>
      </w:pPr>
    </w:p>
    <w:p w14:paraId="6EBD3749">
      <w:pPr>
        <w:rPr>
          <w:rFonts w:ascii="Times New Roman" w:hAnsi="Times New Roman" w:eastAsia="方正小标宋_GBK" w:cs="Times New Roman"/>
          <w:color w:val="auto"/>
        </w:rPr>
      </w:pPr>
    </w:p>
    <w:p w14:paraId="423A9045">
      <w:pPr>
        <w:rPr>
          <w:rFonts w:ascii="Times New Roman" w:hAnsi="Times New Roman" w:eastAsia="方正小标宋_GBK" w:cs="Times New Roman"/>
          <w:color w:val="auto"/>
        </w:rPr>
      </w:pPr>
    </w:p>
    <w:p w14:paraId="77AE6DC1">
      <w:pPr>
        <w:rPr>
          <w:rFonts w:ascii="Times New Roman" w:hAnsi="Times New Roman" w:eastAsia="方正小标宋_GBK" w:cs="Times New Roman"/>
          <w:color w:val="auto"/>
        </w:rPr>
      </w:pPr>
    </w:p>
    <w:p w14:paraId="0412F285">
      <w:pPr>
        <w:rPr>
          <w:rFonts w:ascii="Times New Roman" w:hAnsi="Times New Roman" w:eastAsia="方正小标宋_GBK" w:cs="Times New Roman"/>
          <w:color w:val="auto"/>
        </w:rPr>
      </w:pPr>
    </w:p>
    <w:p w14:paraId="0CE08D0D">
      <w:pPr>
        <w:rPr>
          <w:rFonts w:ascii="Times New Roman" w:hAnsi="Times New Roman" w:eastAsia="方正小标宋_GBK" w:cs="Times New Roman"/>
          <w:color w:val="auto"/>
        </w:rPr>
      </w:pPr>
    </w:p>
    <w:p w14:paraId="4AFA7762">
      <w:pPr>
        <w:numPr>
          <w:ilvl w:val="0"/>
          <w:numId w:val="0"/>
        </w:numPr>
        <w:spacing w:line="500" w:lineRule="exact"/>
        <w:rPr>
          <w:rFonts w:hint="eastAsia" w:ascii="仿宋" w:hAnsi="仿宋" w:eastAsia="仿宋" w:cs="仿宋"/>
          <w:b/>
          <w:bCs/>
          <w:color w:val="auto"/>
          <w:kern w:val="0"/>
          <w:sz w:val="28"/>
          <w:szCs w:val="28"/>
        </w:rPr>
      </w:pPr>
    </w:p>
    <w:p w14:paraId="4FBBEC00">
      <w:pP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br w:type="page"/>
      </w:r>
    </w:p>
    <w:p w14:paraId="0B1071DF">
      <w:pPr>
        <w:numPr>
          <w:ilvl w:val="0"/>
          <w:numId w:val="0"/>
        </w:numPr>
        <w:spacing w:line="500" w:lineRule="exact"/>
        <w:rPr>
          <w:rFonts w:hint="eastAsia" w:ascii="仿宋" w:hAnsi="仿宋" w:eastAsia="仿宋" w:cs="仿宋"/>
          <w:b/>
          <w:bCs/>
          <w:color w:val="auto"/>
          <w:kern w:val="0"/>
          <w:sz w:val="28"/>
          <w:szCs w:val="28"/>
        </w:rPr>
      </w:pPr>
    </w:p>
    <w:p w14:paraId="75D0A079">
      <w:pPr>
        <w:numPr>
          <w:ilvl w:val="255"/>
          <w:numId w:val="0"/>
        </w:numPr>
        <w:spacing w:line="500" w:lineRule="exac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（二）技术部分</w:t>
      </w:r>
    </w:p>
    <w:p w14:paraId="5FA94947">
      <w:pPr>
        <w:numPr>
          <w:ilvl w:val="255"/>
          <w:numId w:val="0"/>
        </w:numPr>
        <w:spacing w:line="500" w:lineRule="exact"/>
        <w:rPr>
          <w:rFonts w:hint="eastAsia" w:ascii="仿宋" w:hAnsi="仿宋" w:eastAsia="仿宋" w:cs="仿宋"/>
          <w:b/>
          <w:bCs/>
          <w:color w:val="auto"/>
          <w:kern w:val="2"/>
          <w:sz w:val="28"/>
          <w:szCs w:val="28"/>
        </w:rPr>
      </w:pPr>
      <w:r>
        <w:rPr>
          <w:rFonts w:hint="eastAsia" w:ascii="仿宋" w:hAnsi="仿宋" w:eastAsia="仿宋" w:cs="仿宋"/>
          <w:b/>
          <w:bCs/>
          <w:color w:val="auto"/>
          <w:sz w:val="28"/>
          <w:szCs w:val="28"/>
        </w:rPr>
        <w:t>1.共计3</w:t>
      </w:r>
      <w:r>
        <w:rPr>
          <w:rFonts w:hint="eastAsia" w:ascii="仿宋" w:hAnsi="仿宋" w:eastAsia="仿宋" w:cs="仿宋"/>
          <w:b/>
          <w:bCs/>
          <w:color w:val="auto"/>
          <w:kern w:val="2"/>
          <w:sz w:val="28"/>
          <w:szCs w:val="28"/>
        </w:rPr>
        <w:t>个实验室</w:t>
      </w:r>
      <w:r>
        <w:rPr>
          <w:rFonts w:hint="eastAsia" w:ascii="仿宋" w:hAnsi="仿宋" w:eastAsia="仿宋" w:cs="仿宋"/>
          <w:b/>
          <w:bCs/>
          <w:color w:val="auto"/>
          <w:sz w:val="28"/>
          <w:szCs w:val="28"/>
        </w:rPr>
        <w:t>分别的</w:t>
      </w:r>
      <w:r>
        <w:rPr>
          <w:rFonts w:hint="eastAsia" w:ascii="仿宋" w:hAnsi="仿宋" w:eastAsia="仿宋" w:cs="仿宋"/>
          <w:b/>
          <w:bCs/>
          <w:color w:val="auto"/>
          <w:kern w:val="2"/>
          <w:sz w:val="28"/>
          <w:szCs w:val="28"/>
        </w:rPr>
        <w:t>建设方案</w:t>
      </w:r>
    </w:p>
    <w:p w14:paraId="7C6D046D">
      <w:pPr>
        <w:numPr>
          <w:ilvl w:val="255"/>
          <w:numId w:val="0"/>
        </w:numPr>
        <w:spacing w:line="500" w:lineRule="exact"/>
        <w:rPr>
          <w:rFonts w:hint="eastAsia" w:ascii="仿宋" w:hAnsi="仿宋" w:eastAsia="仿宋" w:cs="仿宋"/>
          <w:b/>
          <w:bCs/>
          <w:color w:val="auto"/>
          <w:kern w:val="0"/>
          <w:sz w:val="28"/>
          <w:szCs w:val="28"/>
        </w:rPr>
      </w:pPr>
      <w:r>
        <w:rPr>
          <w:rFonts w:hint="eastAsia" w:ascii="仿宋" w:hAnsi="仿宋" w:eastAsia="仿宋" w:cs="仿宋"/>
          <w:b/>
          <w:bCs/>
          <w:color w:val="auto"/>
          <w:sz w:val="28"/>
          <w:szCs w:val="28"/>
        </w:rPr>
        <w:t>2.</w:t>
      </w:r>
      <w:r>
        <w:rPr>
          <w:rFonts w:hint="eastAsia" w:ascii="仿宋" w:hAnsi="仿宋" w:eastAsia="仿宋" w:cs="仿宋"/>
          <w:b/>
          <w:bCs/>
          <w:color w:val="auto"/>
          <w:kern w:val="2"/>
          <w:sz w:val="28"/>
          <w:szCs w:val="28"/>
        </w:rPr>
        <w:t>技术偏离表</w:t>
      </w:r>
      <w:r>
        <w:rPr>
          <w:rFonts w:hint="eastAsia" w:ascii="仿宋" w:hAnsi="仿宋" w:eastAsia="仿宋" w:cs="仿宋"/>
          <w:b w:val="0"/>
          <w:bCs w:val="0"/>
          <w:color w:val="auto"/>
          <w:kern w:val="2"/>
          <w:sz w:val="28"/>
          <w:szCs w:val="28"/>
        </w:rPr>
        <w:t>（含</w:t>
      </w:r>
      <w:r>
        <w:rPr>
          <w:rFonts w:hint="eastAsia" w:ascii="仿宋" w:hAnsi="仿宋" w:eastAsia="仿宋" w:cs="仿宋"/>
          <w:color w:val="auto"/>
          <w:sz w:val="28"/>
          <w:szCs w:val="28"/>
        </w:rPr>
        <w:t>设备技术参数响应程度、品牌档次、性能匹配度</w:t>
      </w:r>
      <w:r>
        <w:rPr>
          <w:rFonts w:hint="eastAsia" w:ascii="仿宋" w:hAnsi="仿宋" w:eastAsia="仿宋" w:cs="仿宋"/>
          <w:b/>
          <w:bCs/>
          <w:color w:val="auto"/>
          <w:kern w:val="0"/>
          <w:sz w:val="28"/>
          <w:szCs w:val="28"/>
        </w:rPr>
        <w:t>）</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843"/>
        <w:gridCol w:w="2948"/>
        <w:gridCol w:w="2207"/>
      </w:tblGrid>
      <w:tr w14:paraId="434F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161D0FF6">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序号</w:t>
            </w:r>
          </w:p>
        </w:tc>
        <w:tc>
          <w:tcPr>
            <w:tcW w:w="1542" w:type="pct"/>
            <w:vAlign w:val="center"/>
          </w:tcPr>
          <w:p w14:paraId="0B6205FC">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招标要求</w:t>
            </w:r>
          </w:p>
        </w:tc>
        <w:tc>
          <w:tcPr>
            <w:tcW w:w="1599" w:type="pct"/>
            <w:vAlign w:val="center"/>
          </w:tcPr>
          <w:p w14:paraId="4AA6E93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投标应答</w:t>
            </w:r>
          </w:p>
        </w:tc>
        <w:tc>
          <w:tcPr>
            <w:tcW w:w="1197" w:type="pct"/>
            <w:vAlign w:val="center"/>
          </w:tcPr>
          <w:p w14:paraId="5D32382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差异说明</w:t>
            </w:r>
          </w:p>
        </w:tc>
      </w:tr>
      <w:tr w14:paraId="466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109578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2" w:type="pct"/>
            <w:vAlign w:val="center"/>
          </w:tcPr>
          <w:p w14:paraId="5FDDA013">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0C03DF7D">
            <w:pPr>
              <w:tabs>
                <w:tab w:val="left" w:pos="6300"/>
              </w:tabs>
              <w:snapToGrid w:val="0"/>
              <w:spacing w:line="500" w:lineRule="exact"/>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提醒：请注明技术参数或具体内容以及投标文件中技术参数或具体内容的位置（页码）</w:t>
            </w:r>
          </w:p>
        </w:tc>
        <w:tc>
          <w:tcPr>
            <w:tcW w:w="1197" w:type="pct"/>
            <w:vAlign w:val="center"/>
          </w:tcPr>
          <w:p w14:paraId="5598CBBB">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2B93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7F4356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2" w:type="pct"/>
            <w:vAlign w:val="center"/>
          </w:tcPr>
          <w:p w14:paraId="61A5900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06F3552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7" w:type="pct"/>
            <w:vAlign w:val="center"/>
          </w:tcPr>
          <w:p w14:paraId="2D9990C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0DA4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8ED79B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2" w:type="pct"/>
            <w:vAlign w:val="center"/>
          </w:tcPr>
          <w:p w14:paraId="55C4348B">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2374357B">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7" w:type="pct"/>
            <w:vAlign w:val="center"/>
          </w:tcPr>
          <w:p w14:paraId="4AA7E619">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6AC9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D7D664F">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2" w:type="pct"/>
            <w:vAlign w:val="center"/>
          </w:tcPr>
          <w:p w14:paraId="1B8F646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15A7394E">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7" w:type="pct"/>
            <w:vAlign w:val="center"/>
          </w:tcPr>
          <w:p w14:paraId="53FE6E0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7CF9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25ADE7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2" w:type="pct"/>
            <w:vAlign w:val="center"/>
          </w:tcPr>
          <w:p w14:paraId="68654E8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6A79FCB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7" w:type="pct"/>
            <w:vAlign w:val="center"/>
          </w:tcPr>
          <w:p w14:paraId="1108B9CE">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6941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B13C594">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2" w:type="pct"/>
            <w:vAlign w:val="center"/>
          </w:tcPr>
          <w:p w14:paraId="7C34CC66">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2B052B6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7" w:type="pct"/>
            <w:vAlign w:val="center"/>
          </w:tcPr>
          <w:p w14:paraId="7C54DB5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21CF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F1B7B7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2" w:type="pct"/>
            <w:vAlign w:val="center"/>
          </w:tcPr>
          <w:p w14:paraId="29B4DDEF">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0997C34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7" w:type="pct"/>
            <w:vAlign w:val="center"/>
          </w:tcPr>
          <w:p w14:paraId="7A61BE6B">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0A5D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A61A49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2" w:type="pct"/>
            <w:vAlign w:val="center"/>
          </w:tcPr>
          <w:p w14:paraId="160749D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176793B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7" w:type="pct"/>
            <w:vAlign w:val="center"/>
          </w:tcPr>
          <w:p w14:paraId="2C0BA3C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bl>
    <w:p w14:paraId="12ADB4DC">
      <w:pPr>
        <w:spacing w:line="500" w:lineRule="exact"/>
        <w:jc w:val="both"/>
        <w:rPr>
          <w:rFonts w:hint="eastAsia" w:asciiTheme="minorEastAsia" w:hAnsiTheme="minorEastAsia" w:eastAsiaTheme="minorEastAsia"/>
          <w:bCs/>
          <w:color w:val="auto"/>
          <w:sz w:val="28"/>
          <w:szCs w:val="28"/>
        </w:rPr>
      </w:pPr>
      <w:r>
        <w:rPr>
          <w:rFonts w:hint="eastAsia" w:cs="方正仿宋_GBK" w:asciiTheme="minorEastAsia" w:hAnsiTheme="minorEastAsia" w:eastAsiaTheme="minorEastAsia"/>
          <w:color w:val="auto"/>
          <w:sz w:val="24"/>
          <w:szCs w:val="28"/>
          <w:highlight w:val="none"/>
        </w:rPr>
        <w:t>投标人</w:t>
      </w:r>
      <w:r>
        <w:rPr>
          <w:rFonts w:hint="eastAsia" w:cs="方正仿宋_GBK" w:asciiTheme="minorEastAsia" w:hAnsiTheme="minorEastAsia" w:eastAsiaTheme="minorEastAsia"/>
          <w:color w:val="auto"/>
          <w:sz w:val="24"/>
          <w:szCs w:val="28"/>
          <w:highlight w:val="none"/>
          <w:lang w:val="en-US" w:eastAsia="zh-CN"/>
        </w:rPr>
        <w:t>名称</w:t>
      </w:r>
      <w:r>
        <w:rPr>
          <w:rFonts w:hint="eastAsia" w:cs="方正仿宋_GBK" w:asciiTheme="minorEastAsia" w:hAnsiTheme="minorEastAsia" w:eastAsiaTheme="minorEastAsia"/>
          <w:color w:val="auto"/>
          <w:sz w:val="24"/>
          <w:szCs w:val="28"/>
          <w:highlight w:val="none"/>
        </w:rPr>
        <w:t xml:space="preserve">：             </w:t>
      </w:r>
      <w:r>
        <w:rPr>
          <w:rFonts w:hint="eastAsia" w:cs="方正仿宋_GBK" w:asciiTheme="minorEastAsia" w:hAnsiTheme="minorEastAsia" w:eastAsiaTheme="minorEastAsia"/>
          <w:color w:val="auto"/>
          <w:sz w:val="24"/>
          <w:szCs w:val="28"/>
          <w:highlight w:val="none"/>
          <w:lang w:val="en-US" w:eastAsia="zh-CN"/>
        </w:rPr>
        <w:t xml:space="preserve">  </w:t>
      </w:r>
      <w:r>
        <w:rPr>
          <w:rFonts w:hint="eastAsia" w:cs="方正仿宋_GBK" w:asciiTheme="minorEastAsia" w:hAnsiTheme="minorEastAsia" w:eastAsiaTheme="minorEastAsia"/>
          <w:color w:val="auto"/>
          <w:sz w:val="24"/>
          <w:szCs w:val="28"/>
          <w:highlight w:val="none"/>
        </w:rPr>
        <w:t xml:space="preserve"> </w:t>
      </w:r>
      <w:r>
        <w:rPr>
          <w:rFonts w:hint="eastAsia" w:cs="方正仿宋_GBK" w:asciiTheme="minorEastAsia" w:hAnsiTheme="minorEastAsia" w:eastAsiaTheme="minorEastAsia"/>
          <w:color w:val="auto"/>
          <w:sz w:val="24"/>
          <w:szCs w:val="28"/>
          <w:highlight w:val="none"/>
          <w:lang w:val="en-US" w:eastAsia="zh-CN"/>
        </w:rPr>
        <w:t xml:space="preserve">      </w:t>
      </w:r>
      <w:r>
        <w:rPr>
          <w:rFonts w:hint="eastAsia" w:asciiTheme="minorEastAsia" w:hAnsiTheme="minorEastAsia" w:eastAsiaTheme="minorEastAsia"/>
          <w:color w:val="auto"/>
          <w:sz w:val="28"/>
          <w:szCs w:val="28"/>
        </w:rPr>
        <w:t>法定代表人或授权代表（签字）</w:t>
      </w:r>
      <w:r>
        <w:rPr>
          <w:rFonts w:hint="eastAsia" w:asciiTheme="minorEastAsia" w:hAnsiTheme="minorEastAsia" w:eastAsiaTheme="minorEastAsia"/>
          <w:bCs/>
          <w:color w:val="auto"/>
          <w:sz w:val="28"/>
          <w:szCs w:val="28"/>
        </w:rPr>
        <w:t>：</w:t>
      </w:r>
    </w:p>
    <w:p w14:paraId="1329CDE2">
      <w:pPr>
        <w:spacing w:line="500" w:lineRule="exact"/>
        <w:ind w:firstLine="2160" w:firstLineChars="900"/>
        <w:jc w:val="both"/>
        <w:rPr>
          <w:rFonts w:hint="eastAsia" w:asciiTheme="minorEastAsia" w:hAnsiTheme="minorEastAsia" w:eastAsiaTheme="minorEastAsia"/>
          <w:bCs/>
          <w:color w:val="auto"/>
          <w:sz w:val="28"/>
          <w:szCs w:val="28"/>
        </w:rPr>
      </w:pPr>
      <w:r>
        <w:rPr>
          <w:rFonts w:hint="eastAsia" w:cs="方正仿宋_GBK" w:asciiTheme="minorEastAsia" w:hAnsiTheme="minorEastAsia" w:eastAsiaTheme="minorEastAsia"/>
          <w:color w:val="auto"/>
          <w:sz w:val="24"/>
          <w:szCs w:val="28"/>
          <w:highlight w:val="none"/>
          <w:lang w:eastAsia="zh-CN"/>
        </w:rPr>
        <w:t>（</w:t>
      </w:r>
      <w:r>
        <w:rPr>
          <w:rFonts w:hint="eastAsia" w:cs="方正仿宋_GBK" w:asciiTheme="minorEastAsia" w:hAnsiTheme="minorEastAsia" w:eastAsiaTheme="minorEastAsia"/>
          <w:color w:val="auto"/>
          <w:sz w:val="24"/>
          <w:szCs w:val="28"/>
          <w:highlight w:val="none"/>
          <w:lang w:val="en-US" w:eastAsia="zh-CN"/>
        </w:rPr>
        <w:t>公章</w:t>
      </w:r>
      <w:r>
        <w:rPr>
          <w:rFonts w:hint="eastAsia" w:cs="方正仿宋_GBK" w:asciiTheme="minorEastAsia" w:hAnsiTheme="minorEastAsia" w:eastAsiaTheme="minorEastAsia"/>
          <w:color w:val="auto"/>
          <w:sz w:val="24"/>
          <w:szCs w:val="28"/>
          <w:highlight w:val="none"/>
          <w:lang w:eastAsia="zh-CN"/>
        </w:rPr>
        <w:t>）</w:t>
      </w:r>
      <w:r>
        <w:rPr>
          <w:rFonts w:hint="eastAsia" w:cs="方正仿宋_GBK" w:asciiTheme="minorEastAsia" w:hAnsiTheme="minorEastAsia" w:eastAsiaTheme="minorEastAsia"/>
          <w:color w:val="auto"/>
          <w:sz w:val="24"/>
          <w:szCs w:val="28"/>
          <w:highlight w:val="none"/>
          <w:lang w:val="en-US" w:eastAsia="zh-CN"/>
        </w:rPr>
        <w:t xml:space="preserve">        </w:t>
      </w:r>
      <w:r>
        <w:rPr>
          <w:rFonts w:hint="eastAsia" w:asciiTheme="minorEastAsia" w:hAnsiTheme="minorEastAsia" w:eastAsiaTheme="minorEastAsia"/>
          <w:bCs/>
          <w:color w:val="auto"/>
          <w:sz w:val="28"/>
          <w:szCs w:val="28"/>
        </w:rPr>
        <w:t>投标日期:</w:t>
      </w:r>
    </w:p>
    <w:p w14:paraId="6FB33715">
      <w:pPr>
        <w:tabs>
          <w:tab w:val="left" w:pos="6300"/>
        </w:tabs>
        <w:snapToGrid w:val="0"/>
        <w:spacing w:line="500" w:lineRule="exact"/>
        <w:ind w:left="0" w:leftChars="0" w:firstLine="0" w:firstLineChars="0"/>
        <w:rPr>
          <w:rFonts w:hint="eastAsia" w:cs="方正仿宋_GBK" w:asciiTheme="minorEastAsia" w:hAnsiTheme="minorEastAsia" w:eastAsiaTheme="minorEastAsia"/>
          <w:b/>
          <w:bCs/>
          <w:color w:val="auto"/>
          <w:sz w:val="24"/>
          <w:szCs w:val="24"/>
          <w:highlight w:val="none"/>
        </w:rPr>
      </w:pPr>
      <w:r>
        <w:rPr>
          <w:rFonts w:hint="eastAsia" w:cs="方正仿宋_GBK" w:asciiTheme="minorEastAsia" w:hAnsiTheme="minorEastAsia" w:eastAsiaTheme="minorEastAsia"/>
          <w:b/>
          <w:bCs/>
          <w:color w:val="auto"/>
          <w:sz w:val="24"/>
          <w:szCs w:val="24"/>
          <w:highlight w:val="none"/>
        </w:rPr>
        <w:t>注：</w:t>
      </w:r>
    </w:p>
    <w:p w14:paraId="6BF9D139">
      <w:pPr>
        <w:tabs>
          <w:tab w:val="left" w:pos="6300"/>
        </w:tabs>
        <w:snapToGrid w:val="0"/>
        <w:spacing w:line="500" w:lineRule="exact"/>
        <w:ind w:left="0" w:leftChars="0" w:firstLine="0" w:firstLineChars="0"/>
        <w:rPr>
          <w:rFonts w:cs="方正仿宋_GBK" w:asciiTheme="minorEastAsia" w:hAnsiTheme="minorEastAsia" w:eastAsiaTheme="minorEastAsia"/>
          <w:color w:val="auto"/>
          <w:sz w:val="24"/>
          <w:szCs w:val="24"/>
          <w:highlight w:val="none"/>
        </w:rPr>
      </w:pPr>
      <w:r>
        <w:rPr>
          <w:rFonts w:hint="eastAsia" w:cs="方正仿宋_GBK" w:asciiTheme="minorEastAsia" w:hAnsiTheme="minorEastAsia" w:eastAsiaTheme="minorEastAsia"/>
          <w:color w:val="auto"/>
          <w:sz w:val="24"/>
          <w:szCs w:val="24"/>
          <w:highlight w:val="none"/>
          <w:lang w:val="en-US" w:eastAsia="zh-CN"/>
        </w:rPr>
        <w:t>①本表即为对本项目“第三章 采购清单和功能需求”中所列条款进行比较和响应；②</w:t>
      </w:r>
      <w:r>
        <w:rPr>
          <w:rFonts w:hint="eastAsia" w:cs="方正仿宋_GBK" w:asciiTheme="minorEastAsia" w:hAnsiTheme="minorEastAsia" w:eastAsiaTheme="minorEastAsia"/>
          <w:color w:val="auto"/>
          <w:sz w:val="24"/>
          <w:szCs w:val="24"/>
          <w:highlight w:val="none"/>
        </w:rPr>
        <w:t>本表可扩展；</w:t>
      </w:r>
    </w:p>
    <w:p w14:paraId="2285473B">
      <w:pPr>
        <w:tabs>
          <w:tab w:val="left" w:pos="6300"/>
        </w:tabs>
        <w:snapToGrid w:val="0"/>
        <w:spacing w:line="500" w:lineRule="exact"/>
        <w:ind w:left="0" w:leftChars="0" w:firstLine="0" w:firstLineChars="0"/>
        <w:rPr>
          <w:rFonts w:cs="方正仿宋_GBK" w:asciiTheme="minorEastAsia" w:hAnsiTheme="minorEastAsia" w:eastAsiaTheme="minorEastAsia"/>
          <w:color w:val="auto"/>
          <w:sz w:val="24"/>
          <w:szCs w:val="24"/>
          <w:highlight w:val="none"/>
        </w:rPr>
      </w:pPr>
      <w:r>
        <w:rPr>
          <w:rFonts w:hint="eastAsia" w:cs="方正仿宋_GBK" w:asciiTheme="minorEastAsia" w:hAnsiTheme="minorEastAsia" w:eastAsiaTheme="minorEastAsia"/>
          <w:color w:val="auto"/>
          <w:sz w:val="24"/>
          <w:szCs w:val="24"/>
          <w:highlight w:val="none"/>
          <w:lang w:val="en-US" w:eastAsia="zh-CN"/>
        </w:rPr>
        <w:t>③</w:t>
      </w:r>
      <w:r>
        <w:rPr>
          <w:rFonts w:hint="eastAsia" w:cs="方正仿宋_GBK" w:asciiTheme="minorEastAsia" w:hAnsiTheme="minorEastAsia" w:eastAsiaTheme="minorEastAsia"/>
          <w:color w:val="auto"/>
          <w:sz w:val="24"/>
          <w:szCs w:val="24"/>
          <w:highlight w:val="none"/>
        </w:rPr>
        <w:t>可附相关技术（质量）支撑材料。（格式自定）</w:t>
      </w:r>
    </w:p>
    <w:p w14:paraId="6FEED7DC">
      <w:pPr>
        <w:tabs>
          <w:tab w:val="left" w:pos="6300"/>
        </w:tabs>
        <w:snapToGrid w:val="0"/>
        <w:spacing w:line="500" w:lineRule="exact"/>
        <w:ind w:left="0" w:leftChars="0" w:firstLine="0" w:firstLineChars="0"/>
        <w:rPr>
          <w:rFonts w:hint="eastAsia" w:cs="方正仿宋_GBK" w:asciiTheme="minorEastAsia" w:hAnsiTheme="minorEastAsia" w:eastAsiaTheme="minorEastAsia"/>
          <w:color w:val="auto"/>
          <w:sz w:val="24"/>
          <w:szCs w:val="28"/>
          <w:highlight w:val="none"/>
        </w:rPr>
      </w:pPr>
      <w:r>
        <w:rPr>
          <w:rFonts w:hint="eastAsia" w:cs="方正仿宋_GBK" w:asciiTheme="minorEastAsia" w:hAnsiTheme="minorEastAsia" w:eastAsiaTheme="minorEastAsia"/>
          <w:color w:val="auto"/>
          <w:sz w:val="24"/>
          <w:szCs w:val="28"/>
          <w:highlight w:val="none"/>
          <w:lang w:val="en-US" w:eastAsia="zh-CN"/>
        </w:rPr>
        <w:t>④</w:t>
      </w:r>
      <w:r>
        <w:rPr>
          <w:rFonts w:hint="eastAsia" w:cs="方正仿宋_GBK" w:asciiTheme="minorEastAsia" w:hAnsiTheme="minorEastAsia" w:eastAsiaTheme="minorEastAsia"/>
          <w:color w:val="auto"/>
          <w:sz w:val="24"/>
          <w:szCs w:val="28"/>
          <w:highlight w:val="none"/>
        </w:rPr>
        <w:t>投标应答栏中应当注明技术参数或具体内容，且必须标注技术参数或具体内容在投标文件中的位置（页码）。</w:t>
      </w:r>
    </w:p>
    <w:p w14:paraId="6E2E1004">
      <w:pPr>
        <w:tabs>
          <w:tab w:val="left" w:pos="6300"/>
        </w:tabs>
        <w:snapToGrid w:val="0"/>
        <w:spacing w:line="500" w:lineRule="exact"/>
        <w:ind w:left="0" w:leftChars="0" w:firstLine="0" w:firstLineChars="0"/>
        <w:rPr>
          <w:rFonts w:hint="eastAsia" w:cs="方正仿宋_GBK" w:asciiTheme="minorEastAsia" w:hAnsiTheme="minorEastAsia" w:eastAsiaTheme="minorEastAsia"/>
          <w:color w:val="auto"/>
          <w:sz w:val="24"/>
          <w:szCs w:val="28"/>
          <w:highlight w:val="none"/>
        </w:rPr>
      </w:pPr>
    </w:p>
    <w:p w14:paraId="7D4FCF6B">
      <w:pPr>
        <w:numPr>
          <w:ilvl w:val="255"/>
          <w:numId w:val="0"/>
        </w:numPr>
        <w:spacing w:line="5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3.软硬件系统集成方案</w:t>
      </w:r>
    </w:p>
    <w:p w14:paraId="79D52597">
      <w:pPr>
        <w:numPr>
          <w:ilvl w:val="255"/>
          <w:numId w:val="0"/>
        </w:numPr>
        <w:spacing w:line="5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4.施工组织方案</w:t>
      </w:r>
    </w:p>
    <w:p w14:paraId="00D77048">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D78B18D">
      <w:pPr>
        <w:numPr>
          <w:ilvl w:val="255"/>
          <w:numId w:val="0"/>
        </w:numPr>
        <w:spacing w:line="500" w:lineRule="exact"/>
        <w:rPr>
          <w:rFonts w:hint="eastAsia" w:ascii="仿宋" w:hAnsi="仿宋" w:eastAsia="仿宋" w:cs="仿宋"/>
          <w:color w:val="auto"/>
          <w:sz w:val="28"/>
          <w:szCs w:val="28"/>
        </w:rPr>
      </w:pPr>
    </w:p>
    <w:p w14:paraId="638C6211">
      <w:pPr>
        <w:numPr>
          <w:ilvl w:val="0"/>
          <w:numId w:val="16"/>
        </w:numPr>
        <w:spacing w:line="500" w:lineRule="exact"/>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商务部分</w:t>
      </w:r>
    </w:p>
    <w:p w14:paraId="1B9B1273">
      <w:pPr>
        <w:numPr>
          <w:ilvl w:val="255"/>
          <w:numId w:val="0"/>
        </w:numPr>
        <w:spacing w:line="500" w:lineRule="exact"/>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1.业绩证明</w:t>
      </w:r>
    </w:p>
    <w:p w14:paraId="0030451F">
      <w:pPr>
        <w:numPr>
          <w:ilvl w:val="255"/>
          <w:numId w:val="0"/>
        </w:numPr>
        <w:spacing w:line="500" w:lineRule="exact"/>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2.企业资质、技术实力、项目团队配置等证明材料</w:t>
      </w:r>
    </w:p>
    <w:p w14:paraId="56D86D8F">
      <w:pPr>
        <w:numPr>
          <w:ilvl w:val="255"/>
          <w:numId w:val="0"/>
        </w:numPr>
        <w:snapToGrid w:val="0"/>
        <w:spacing w:line="500" w:lineRule="exact"/>
        <w:rPr>
          <w:rFonts w:hint="eastAsia" w:ascii="仿宋" w:hAnsi="仿宋" w:eastAsia="仿宋" w:cs="仿宋"/>
          <w:color w:val="auto"/>
          <w:sz w:val="28"/>
          <w:szCs w:val="28"/>
        </w:rPr>
      </w:pPr>
      <w:r>
        <w:rPr>
          <w:rFonts w:hint="eastAsia" w:ascii="仿宋" w:hAnsi="仿宋" w:eastAsia="仿宋" w:cs="仿宋"/>
          <w:b/>
          <w:bCs w:val="0"/>
          <w:color w:val="auto"/>
          <w:sz w:val="28"/>
          <w:szCs w:val="28"/>
        </w:rPr>
        <w:t>3.财务状况、履约信誉、供货保障能力</w:t>
      </w:r>
      <w:r>
        <w:rPr>
          <w:rFonts w:hint="eastAsia" w:ascii="仿宋" w:hAnsi="仿宋" w:eastAsia="仿宋" w:cs="仿宋"/>
          <w:color w:val="auto"/>
          <w:sz w:val="28"/>
          <w:szCs w:val="28"/>
        </w:rPr>
        <w:t>（含近三年财务报表、纳税证明、</w:t>
      </w:r>
      <w:r>
        <w:rPr>
          <w:rFonts w:hint="eastAsia" w:ascii="仿宋" w:hAnsi="仿宋" w:eastAsia="仿宋" w:cs="仿宋"/>
          <w:b w:val="0"/>
          <w:color w:val="auto"/>
          <w:sz w:val="28"/>
          <w:szCs w:val="28"/>
        </w:rPr>
        <w:t>官网诚信证明截图</w:t>
      </w:r>
      <w:r>
        <w:rPr>
          <w:rFonts w:hint="eastAsia" w:ascii="仿宋" w:hAnsi="仿宋" w:eastAsia="仿宋" w:cs="仿宋"/>
          <w:color w:val="auto"/>
          <w:sz w:val="28"/>
          <w:szCs w:val="28"/>
        </w:rPr>
        <w:t>等证明材料）</w:t>
      </w:r>
    </w:p>
    <w:p w14:paraId="47EFE2BD">
      <w:pPr>
        <w:numPr>
          <w:ilvl w:val="0"/>
          <w:numId w:val="11"/>
        </w:numPr>
        <w:snapToGrid w:val="0"/>
        <w:spacing w:line="5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商务偏离表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841"/>
        <w:gridCol w:w="2948"/>
        <w:gridCol w:w="2209"/>
      </w:tblGrid>
      <w:tr w14:paraId="04CE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6AEEE25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序号</w:t>
            </w:r>
          </w:p>
        </w:tc>
        <w:tc>
          <w:tcPr>
            <w:tcW w:w="1541" w:type="pct"/>
            <w:vAlign w:val="center"/>
          </w:tcPr>
          <w:p w14:paraId="48E9839E">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招标商务要求</w:t>
            </w:r>
          </w:p>
        </w:tc>
        <w:tc>
          <w:tcPr>
            <w:tcW w:w="1599" w:type="pct"/>
            <w:vAlign w:val="center"/>
          </w:tcPr>
          <w:p w14:paraId="56A9E44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投标商务应答</w:t>
            </w:r>
          </w:p>
        </w:tc>
        <w:tc>
          <w:tcPr>
            <w:tcW w:w="1198" w:type="pct"/>
            <w:vAlign w:val="center"/>
          </w:tcPr>
          <w:p w14:paraId="5D8FED9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差异说明</w:t>
            </w:r>
          </w:p>
        </w:tc>
      </w:tr>
      <w:tr w14:paraId="67DF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2BC46A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1" w:type="pct"/>
            <w:vAlign w:val="center"/>
          </w:tcPr>
          <w:p w14:paraId="57FED749">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7A186A3F">
            <w:pPr>
              <w:tabs>
                <w:tab w:val="left" w:pos="6300"/>
              </w:tabs>
              <w:snapToGrid w:val="0"/>
              <w:spacing w:line="500" w:lineRule="exact"/>
              <w:outlineLvl w:val="0"/>
              <w:rPr>
                <w:rFonts w:cs="方正仿宋_GBK" w:asciiTheme="minorEastAsia" w:hAnsiTheme="minorEastAsia" w:eastAsiaTheme="minorEastAsia"/>
                <w:color w:val="auto"/>
                <w:sz w:val="21"/>
                <w:szCs w:val="21"/>
                <w:highlight w:val="none"/>
              </w:rPr>
            </w:pPr>
            <w:r>
              <w:rPr>
                <w:rFonts w:hint="eastAsia" w:cs="方正仿宋_GBK" w:asciiTheme="minorEastAsia" w:hAnsiTheme="minorEastAsia" w:eastAsiaTheme="minorEastAsia"/>
                <w:color w:val="auto"/>
                <w:sz w:val="21"/>
                <w:szCs w:val="21"/>
                <w:highlight w:val="none"/>
              </w:rPr>
              <w:t>提醒：请注明具体内容以及投标文件中具体内容的位置（页码）</w:t>
            </w:r>
          </w:p>
        </w:tc>
        <w:tc>
          <w:tcPr>
            <w:tcW w:w="1198" w:type="pct"/>
            <w:vAlign w:val="center"/>
          </w:tcPr>
          <w:p w14:paraId="58E8E89F">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415E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A6D3F2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1" w:type="pct"/>
            <w:vAlign w:val="center"/>
          </w:tcPr>
          <w:p w14:paraId="745B58B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1BE5D5BC">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8" w:type="pct"/>
            <w:vAlign w:val="center"/>
          </w:tcPr>
          <w:p w14:paraId="645E10F9">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07F3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7E18A69">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1" w:type="pct"/>
            <w:vAlign w:val="center"/>
          </w:tcPr>
          <w:p w14:paraId="643290EE">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0F6279AF">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8" w:type="pct"/>
            <w:vAlign w:val="center"/>
          </w:tcPr>
          <w:p w14:paraId="1CED93DC">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0E1A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2C560F6">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1" w:type="pct"/>
            <w:vAlign w:val="center"/>
          </w:tcPr>
          <w:p w14:paraId="60F17AA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6F14E2AF">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8" w:type="pct"/>
            <w:vAlign w:val="center"/>
          </w:tcPr>
          <w:p w14:paraId="14A63A0B">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321D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A530DE3">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1" w:type="pct"/>
            <w:vAlign w:val="center"/>
          </w:tcPr>
          <w:p w14:paraId="4BCB38BC">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3E85A4A8">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8" w:type="pct"/>
            <w:vAlign w:val="center"/>
          </w:tcPr>
          <w:p w14:paraId="2BADAE19">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5626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00D084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1" w:type="pct"/>
            <w:vAlign w:val="center"/>
          </w:tcPr>
          <w:p w14:paraId="1EC2D99B">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3DD43EEC">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8" w:type="pct"/>
            <w:vAlign w:val="center"/>
          </w:tcPr>
          <w:p w14:paraId="1383D05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r w14:paraId="00E3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BE165F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41" w:type="pct"/>
            <w:vAlign w:val="center"/>
          </w:tcPr>
          <w:p w14:paraId="7C2D8984">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599" w:type="pct"/>
            <w:vAlign w:val="center"/>
          </w:tcPr>
          <w:p w14:paraId="45A4D5C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c>
          <w:tcPr>
            <w:tcW w:w="1198" w:type="pct"/>
            <w:vAlign w:val="center"/>
          </w:tcPr>
          <w:p w14:paraId="1846AB6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
            </w:pPr>
          </w:p>
        </w:tc>
      </w:tr>
    </w:tbl>
    <w:p w14:paraId="17E53577">
      <w:pPr>
        <w:spacing w:line="500" w:lineRule="exact"/>
        <w:ind w:firstLine="600" w:firstLineChars="250"/>
        <w:rPr>
          <w:rFonts w:cs="方正仿宋_GBK" w:asciiTheme="minorEastAsia" w:hAnsiTheme="minorEastAsia" w:eastAsiaTheme="minorEastAsia"/>
          <w:color w:val="auto"/>
          <w:sz w:val="24"/>
          <w:szCs w:val="28"/>
          <w:highlight w:val="none"/>
        </w:rPr>
      </w:pPr>
    </w:p>
    <w:p w14:paraId="415B7E87">
      <w:pPr>
        <w:spacing w:line="500" w:lineRule="exact"/>
        <w:jc w:val="both"/>
        <w:rPr>
          <w:rFonts w:hint="eastAsia" w:asciiTheme="minorEastAsia" w:hAnsiTheme="minorEastAsia" w:eastAsiaTheme="minorEastAsia"/>
          <w:bCs/>
          <w:color w:val="auto"/>
          <w:sz w:val="28"/>
          <w:szCs w:val="28"/>
        </w:rPr>
      </w:pPr>
      <w:r>
        <w:rPr>
          <w:rFonts w:hint="eastAsia" w:cs="方正仿宋_GBK" w:asciiTheme="minorEastAsia" w:hAnsiTheme="minorEastAsia" w:eastAsiaTheme="minorEastAsia"/>
          <w:color w:val="auto"/>
          <w:sz w:val="24"/>
          <w:szCs w:val="28"/>
          <w:highlight w:val="none"/>
        </w:rPr>
        <w:t>投标人</w:t>
      </w:r>
      <w:r>
        <w:rPr>
          <w:rFonts w:hint="eastAsia" w:cs="方正仿宋_GBK" w:asciiTheme="minorEastAsia" w:hAnsiTheme="minorEastAsia" w:eastAsiaTheme="minorEastAsia"/>
          <w:color w:val="auto"/>
          <w:sz w:val="24"/>
          <w:szCs w:val="28"/>
          <w:highlight w:val="none"/>
          <w:lang w:val="en-US" w:eastAsia="zh-CN"/>
        </w:rPr>
        <w:t>名称</w:t>
      </w:r>
      <w:r>
        <w:rPr>
          <w:rFonts w:hint="eastAsia" w:cs="方正仿宋_GBK" w:asciiTheme="minorEastAsia" w:hAnsiTheme="minorEastAsia" w:eastAsiaTheme="minorEastAsia"/>
          <w:color w:val="auto"/>
          <w:sz w:val="24"/>
          <w:szCs w:val="28"/>
          <w:highlight w:val="none"/>
        </w:rPr>
        <w:t xml:space="preserve">：             </w:t>
      </w:r>
      <w:r>
        <w:rPr>
          <w:rFonts w:hint="eastAsia" w:cs="方正仿宋_GBK" w:asciiTheme="minorEastAsia" w:hAnsiTheme="minorEastAsia" w:eastAsiaTheme="minorEastAsia"/>
          <w:color w:val="auto"/>
          <w:sz w:val="24"/>
          <w:szCs w:val="28"/>
          <w:highlight w:val="none"/>
          <w:lang w:val="en-US" w:eastAsia="zh-CN"/>
        </w:rPr>
        <w:t xml:space="preserve">  </w:t>
      </w:r>
      <w:r>
        <w:rPr>
          <w:rFonts w:hint="eastAsia" w:cs="方正仿宋_GBK" w:asciiTheme="minorEastAsia" w:hAnsiTheme="minorEastAsia" w:eastAsiaTheme="minorEastAsia"/>
          <w:color w:val="auto"/>
          <w:sz w:val="24"/>
          <w:szCs w:val="28"/>
          <w:highlight w:val="none"/>
        </w:rPr>
        <w:t xml:space="preserve"> </w:t>
      </w:r>
      <w:r>
        <w:rPr>
          <w:rFonts w:hint="eastAsia" w:cs="方正仿宋_GBK" w:asciiTheme="minorEastAsia" w:hAnsiTheme="minorEastAsia" w:eastAsiaTheme="minorEastAsia"/>
          <w:color w:val="auto"/>
          <w:sz w:val="24"/>
          <w:szCs w:val="28"/>
          <w:highlight w:val="none"/>
          <w:lang w:val="en-US" w:eastAsia="zh-CN"/>
        </w:rPr>
        <w:t xml:space="preserve">      </w:t>
      </w:r>
      <w:r>
        <w:rPr>
          <w:rFonts w:hint="eastAsia" w:asciiTheme="minorEastAsia" w:hAnsiTheme="minorEastAsia" w:eastAsiaTheme="minorEastAsia"/>
          <w:color w:val="auto"/>
          <w:sz w:val="28"/>
          <w:szCs w:val="28"/>
        </w:rPr>
        <w:t>法定代表人或授权代表（签字）</w:t>
      </w:r>
      <w:r>
        <w:rPr>
          <w:rFonts w:hint="eastAsia" w:asciiTheme="minorEastAsia" w:hAnsiTheme="minorEastAsia" w:eastAsiaTheme="minorEastAsia"/>
          <w:bCs/>
          <w:color w:val="auto"/>
          <w:sz w:val="28"/>
          <w:szCs w:val="28"/>
        </w:rPr>
        <w:t>：</w:t>
      </w:r>
    </w:p>
    <w:p w14:paraId="0CCB5359">
      <w:pPr>
        <w:spacing w:line="500" w:lineRule="exact"/>
        <w:ind w:firstLine="2160" w:firstLineChars="900"/>
        <w:jc w:val="both"/>
        <w:rPr>
          <w:rFonts w:hint="eastAsia" w:asciiTheme="minorEastAsia" w:hAnsiTheme="minorEastAsia" w:eastAsiaTheme="minorEastAsia"/>
          <w:bCs/>
          <w:color w:val="auto"/>
          <w:sz w:val="28"/>
          <w:szCs w:val="28"/>
        </w:rPr>
      </w:pPr>
      <w:r>
        <w:rPr>
          <w:rFonts w:hint="eastAsia" w:cs="方正仿宋_GBK" w:asciiTheme="minorEastAsia" w:hAnsiTheme="minorEastAsia" w:eastAsiaTheme="minorEastAsia"/>
          <w:color w:val="auto"/>
          <w:sz w:val="24"/>
          <w:szCs w:val="28"/>
          <w:highlight w:val="none"/>
          <w:lang w:eastAsia="zh-CN"/>
        </w:rPr>
        <w:t>（</w:t>
      </w:r>
      <w:r>
        <w:rPr>
          <w:rFonts w:hint="eastAsia" w:cs="方正仿宋_GBK" w:asciiTheme="minorEastAsia" w:hAnsiTheme="minorEastAsia" w:eastAsiaTheme="minorEastAsia"/>
          <w:color w:val="auto"/>
          <w:sz w:val="24"/>
          <w:szCs w:val="28"/>
          <w:highlight w:val="none"/>
          <w:lang w:val="en-US" w:eastAsia="zh-CN"/>
        </w:rPr>
        <w:t>公章</w:t>
      </w:r>
      <w:r>
        <w:rPr>
          <w:rFonts w:hint="eastAsia" w:cs="方正仿宋_GBK" w:asciiTheme="minorEastAsia" w:hAnsiTheme="minorEastAsia" w:eastAsiaTheme="minorEastAsia"/>
          <w:color w:val="auto"/>
          <w:sz w:val="24"/>
          <w:szCs w:val="28"/>
          <w:highlight w:val="none"/>
          <w:lang w:eastAsia="zh-CN"/>
        </w:rPr>
        <w:t>）</w:t>
      </w:r>
      <w:r>
        <w:rPr>
          <w:rFonts w:hint="eastAsia" w:cs="方正仿宋_GBK" w:asciiTheme="minorEastAsia" w:hAnsiTheme="minorEastAsia" w:eastAsiaTheme="minorEastAsia"/>
          <w:color w:val="auto"/>
          <w:sz w:val="24"/>
          <w:szCs w:val="28"/>
          <w:highlight w:val="none"/>
          <w:lang w:val="en-US" w:eastAsia="zh-CN"/>
        </w:rPr>
        <w:t xml:space="preserve">        </w:t>
      </w:r>
      <w:r>
        <w:rPr>
          <w:rFonts w:hint="eastAsia" w:asciiTheme="minorEastAsia" w:hAnsiTheme="minorEastAsia" w:eastAsiaTheme="minorEastAsia"/>
          <w:bCs/>
          <w:color w:val="auto"/>
          <w:sz w:val="28"/>
          <w:szCs w:val="28"/>
        </w:rPr>
        <w:t>投标日期:</w:t>
      </w:r>
    </w:p>
    <w:p w14:paraId="7BC21500">
      <w:pPr>
        <w:tabs>
          <w:tab w:val="left" w:pos="6300"/>
        </w:tabs>
        <w:snapToGrid w:val="0"/>
        <w:spacing w:line="500" w:lineRule="exact"/>
        <w:ind w:firstLine="570"/>
        <w:rPr>
          <w:rFonts w:cs="方正仿宋_GBK" w:asciiTheme="minorEastAsia" w:hAnsiTheme="minorEastAsia" w:eastAsiaTheme="minorEastAsia"/>
          <w:color w:val="auto"/>
          <w:sz w:val="24"/>
          <w:highlight w:val="none"/>
        </w:rPr>
      </w:pPr>
    </w:p>
    <w:p w14:paraId="14B904C2">
      <w:pPr>
        <w:tabs>
          <w:tab w:val="left" w:pos="6300"/>
        </w:tabs>
        <w:snapToGrid w:val="0"/>
        <w:spacing w:line="500" w:lineRule="exact"/>
        <w:ind w:left="0" w:leftChars="0" w:firstLine="0" w:firstLineChars="0"/>
        <w:rPr>
          <w:rFonts w:cs="方正仿宋_GBK" w:asciiTheme="minorEastAsia" w:hAnsiTheme="minorEastAsia" w:eastAsiaTheme="minorEastAsia"/>
          <w:b/>
          <w:bCs/>
          <w:color w:val="auto"/>
          <w:sz w:val="24"/>
          <w:highlight w:val="none"/>
        </w:rPr>
      </w:pPr>
      <w:r>
        <w:rPr>
          <w:rFonts w:hint="eastAsia" w:cs="方正仿宋_GBK" w:asciiTheme="minorEastAsia" w:hAnsiTheme="minorEastAsia" w:eastAsiaTheme="minorEastAsia"/>
          <w:b/>
          <w:bCs/>
          <w:color w:val="auto"/>
          <w:sz w:val="24"/>
          <w:highlight w:val="none"/>
        </w:rPr>
        <w:t>注：</w:t>
      </w:r>
    </w:p>
    <w:p w14:paraId="527D28A1">
      <w:pPr>
        <w:tabs>
          <w:tab w:val="left" w:pos="6300"/>
        </w:tabs>
        <w:snapToGrid w:val="0"/>
        <w:spacing w:line="500" w:lineRule="exact"/>
        <w:ind w:left="0" w:leftChars="0" w:firstLine="0" w:firstLineChars="0"/>
        <w:rPr>
          <w:rFonts w:cs="方正仿宋_GBK" w:asciiTheme="minorEastAsia" w:hAnsiTheme="minorEastAsia" w:eastAsiaTheme="minorEastAsia"/>
          <w:color w:val="auto"/>
          <w:sz w:val="24"/>
          <w:szCs w:val="24"/>
          <w:highlight w:val="none"/>
        </w:rPr>
      </w:pPr>
      <w:r>
        <w:rPr>
          <w:rFonts w:hint="eastAsia" w:cs="方正仿宋_GBK" w:asciiTheme="minorEastAsia" w:hAnsiTheme="minorEastAsia" w:eastAsiaTheme="minorEastAsia"/>
          <w:color w:val="auto"/>
          <w:sz w:val="24"/>
          <w:szCs w:val="24"/>
          <w:highlight w:val="none"/>
          <w:lang w:val="en-US" w:eastAsia="zh-CN"/>
        </w:rPr>
        <w:t>①</w:t>
      </w:r>
      <w:r>
        <w:rPr>
          <w:rFonts w:hint="eastAsia" w:cs="方正仿宋_GBK" w:asciiTheme="minorEastAsia" w:hAnsiTheme="minorEastAsia" w:eastAsiaTheme="minorEastAsia"/>
          <w:color w:val="auto"/>
          <w:sz w:val="24"/>
          <w:szCs w:val="24"/>
          <w:highlight w:val="none"/>
        </w:rPr>
        <w:t>本表即为对本项目“</w:t>
      </w:r>
      <w:r>
        <w:rPr>
          <w:rFonts w:hint="eastAsia" w:cs="方正仿宋_GBK" w:asciiTheme="minorEastAsia" w:hAnsiTheme="minorEastAsia" w:eastAsiaTheme="minorEastAsia"/>
          <w:color w:val="auto"/>
          <w:sz w:val="24"/>
          <w:szCs w:val="24"/>
          <w:highlight w:val="none"/>
          <w:lang w:val="en-US" w:eastAsia="zh-CN"/>
        </w:rPr>
        <w:t xml:space="preserve">第三章 </w:t>
      </w:r>
      <w:r>
        <w:rPr>
          <w:rFonts w:hint="eastAsia" w:cs="方正仿宋_GBK" w:asciiTheme="minorEastAsia" w:hAnsiTheme="minorEastAsia" w:eastAsiaTheme="minorEastAsia"/>
          <w:color w:val="auto"/>
          <w:sz w:val="24"/>
          <w:szCs w:val="24"/>
          <w:highlight w:val="none"/>
        </w:rPr>
        <w:t>商务需求”中所列条款进行比较和响应；</w:t>
      </w:r>
    </w:p>
    <w:p w14:paraId="206A3B0D">
      <w:pPr>
        <w:tabs>
          <w:tab w:val="left" w:pos="6300"/>
        </w:tabs>
        <w:snapToGrid w:val="0"/>
        <w:spacing w:line="500" w:lineRule="exact"/>
        <w:ind w:left="0" w:leftChars="0" w:firstLine="0" w:firstLineChars="0"/>
        <w:rPr>
          <w:rFonts w:cs="方正仿宋_GBK" w:asciiTheme="minorEastAsia" w:hAnsiTheme="minorEastAsia" w:eastAsiaTheme="minorEastAsia"/>
          <w:color w:val="auto"/>
          <w:sz w:val="24"/>
          <w:szCs w:val="24"/>
          <w:highlight w:val="none"/>
        </w:rPr>
      </w:pPr>
      <w:r>
        <w:rPr>
          <w:rFonts w:hint="eastAsia" w:cs="方正仿宋_GBK" w:asciiTheme="minorEastAsia" w:hAnsiTheme="minorEastAsia" w:eastAsiaTheme="minorEastAsia"/>
          <w:color w:val="auto"/>
          <w:sz w:val="24"/>
          <w:szCs w:val="24"/>
          <w:highlight w:val="none"/>
          <w:lang w:val="en-US" w:eastAsia="zh-CN"/>
        </w:rPr>
        <w:t>②</w:t>
      </w:r>
      <w:r>
        <w:rPr>
          <w:rFonts w:hint="eastAsia" w:cs="方正仿宋_GBK" w:asciiTheme="minorEastAsia" w:hAnsiTheme="minorEastAsia" w:eastAsiaTheme="minorEastAsia"/>
          <w:color w:val="auto"/>
          <w:sz w:val="24"/>
          <w:szCs w:val="24"/>
          <w:highlight w:val="none"/>
        </w:rPr>
        <w:t>本表可扩展。</w:t>
      </w:r>
    </w:p>
    <w:p w14:paraId="35FDC8E0">
      <w:pPr>
        <w:tabs>
          <w:tab w:val="left" w:pos="6300"/>
        </w:tabs>
        <w:snapToGrid w:val="0"/>
        <w:spacing w:line="500" w:lineRule="exact"/>
        <w:ind w:left="0" w:leftChars="0" w:firstLine="0" w:firstLineChars="0"/>
        <w:rPr>
          <w:rFonts w:hint="eastAsia" w:ascii="仿宋" w:hAnsi="仿宋" w:eastAsia="仿宋" w:cs="仿宋"/>
          <w:color w:val="auto"/>
          <w:sz w:val="28"/>
          <w:szCs w:val="28"/>
        </w:rPr>
      </w:pPr>
      <w:r>
        <w:rPr>
          <w:rFonts w:hint="eastAsia" w:cs="方正仿宋_GBK" w:asciiTheme="minorEastAsia" w:hAnsiTheme="minorEastAsia" w:eastAsiaTheme="minorEastAsia"/>
          <w:color w:val="auto"/>
          <w:sz w:val="24"/>
          <w:szCs w:val="28"/>
          <w:highlight w:val="none"/>
          <w:lang w:val="en-US" w:eastAsia="zh-CN"/>
        </w:rPr>
        <w:t>③</w:t>
      </w:r>
      <w:r>
        <w:rPr>
          <w:rFonts w:hint="eastAsia" w:cs="方正仿宋_GBK" w:asciiTheme="minorEastAsia" w:hAnsiTheme="minorEastAsia" w:eastAsiaTheme="minorEastAsia"/>
          <w:color w:val="auto"/>
          <w:sz w:val="24"/>
          <w:szCs w:val="28"/>
          <w:highlight w:val="none"/>
        </w:rPr>
        <w:t>投标应答栏中应当注明具体内容，且必须标注具体内容在投标文件中的位置（页码）。</w:t>
      </w:r>
      <w:r>
        <w:rPr>
          <w:rFonts w:hint="eastAsia" w:cs="方正仿宋_GBK" w:asciiTheme="minorEastAsia" w:hAnsiTheme="minorEastAsia" w:eastAsiaTheme="minorEastAsia"/>
          <w:color w:val="auto"/>
          <w:szCs w:val="28"/>
          <w:highlight w:val="none"/>
        </w:rPr>
        <w:br w:type="page"/>
      </w:r>
    </w:p>
    <w:p w14:paraId="7416B220">
      <w:pPr>
        <w:numPr>
          <w:ilvl w:val="0"/>
          <w:numId w:val="0"/>
        </w:numPr>
        <w:snapToGrid w:val="0"/>
        <w:spacing w:line="500" w:lineRule="exact"/>
        <w:rPr>
          <w:rFonts w:hint="eastAsia" w:ascii="仿宋" w:hAnsi="仿宋" w:eastAsia="仿宋" w:cs="仿宋"/>
          <w:color w:val="auto"/>
          <w:sz w:val="28"/>
          <w:szCs w:val="28"/>
        </w:rPr>
      </w:pPr>
    </w:p>
    <w:p w14:paraId="58DA4214">
      <w:pPr>
        <w:spacing w:line="5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（四）服务部分</w:t>
      </w:r>
    </w:p>
    <w:p w14:paraId="4825D5CD">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1.工期、质保售后服务方案</w:t>
      </w:r>
    </w:p>
    <w:p w14:paraId="6E87FFD2">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2.培训方案</w:t>
      </w:r>
    </w:p>
    <w:p w14:paraId="726E2022">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3.教学资源配套方案</w:t>
      </w:r>
    </w:p>
    <w:p w14:paraId="6C25EEF6">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6F1E210B">
      <w:pPr>
        <w:spacing w:line="500" w:lineRule="exact"/>
        <w:rPr>
          <w:rFonts w:hint="eastAsia" w:ascii="仿宋" w:hAnsi="仿宋" w:eastAsia="仿宋" w:cs="仿宋"/>
          <w:color w:val="auto"/>
          <w:sz w:val="28"/>
          <w:szCs w:val="28"/>
        </w:rPr>
      </w:pPr>
    </w:p>
    <w:p w14:paraId="05D3BA82">
      <w:pPr>
        <w:spacing w:line="5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（五）其他（若有）</w:t>
      </w:r>
    </w:p>
    <w:p w14:paraId="26A6ADF9">
      <w:pPr>
        <w:spacing w:line="500" w:lineRule="exact"/>
        <w:rPr>
          <w:rFonts w:hint="eastAsia" w:ascii="仿宋" w:hAnsi="仿宋" w:eastAsia="仿宋" w:cs="仿宋"/>
          <w:bCs/>
          <w:color w:val="auto"/>
          <w:sz w:val="28"/>
          <w:szCs w:val="28"/>
        </w:rPr>
      </w:pPr>
    </w:p>
    <w:p w14:paraId="636CEB64">
      <w:pPr>
        <w:spacing w:line="500" w:lineRule="exact"/>
        <w:rPr>
          <w:rFonts w:hint="eastAsia" w:ascii="仿宋" w:hAnsi="仿宋" w:eastAsia="仿宋" w:cs="仿宋"/>
          <w:bCs/>
          <w:color w:val="auto"/>
          <w:sz w:val="28"/>
          <w:szCs w:val="28"/>
        </w:rPr>
      </w:pPr>
    </w:p>
    <w:p w14:paraId="648F5589">
      <w:pPr>
        <w:spacing w:line="500" w:lineRule="exact"/>
        <w:rPr>
          <w:rFonts w:hint="eastAsia" w:ascii="仿宋" w:hAnsi="仿宋" w:eastAsia="仿宋" w:cs="仿宋"/>
          <w:bCs/>
          <w:color w:val="auto"/>
          <w:sz w:val="28"/>
          <w:szCs w:val="28"/>
        </w:rPr>
      </w:pPr>
    </w:p>
    <w:p w14:paraId="69D14C6C">
      <w:pPr>
        <w:spacing w:line="500" w:lineRule="exact"/>
        <w:rPr>
          <w:rFonts w:hint="eastAsia" w:ascii="仿宋" w:hAnsi="仿宋" w:eastAsia="仿宋" w:cs="仿宋"/>
          <w:bCs/>
          <w:color w:val="auto"/>
          <w:sz w:val="28"/>
          <w:szCs w:val="28"/>
        </w:rPr>
      </w:pPr>
    </w:p>
    <w:p w14:paraId="1D6DBB68">
      <w:pPr>
        <w:spacing w:line="500" w:lineRule="exact"/>
        <w:rPr>
          <w:rFonts w:hint="eastAsia" w:ascii="仿宋" w:hAnsi="仿宋" w:eastAsia="仿宋" w:cs="仿宋"/>
          <w:bCs/>
          <w:color w:val="auto"/>
          <w:sz w:val="28"/>
          <w:szCs w:val="28"/>
        </w:rPr>
      </w:pPr>
    </w:p>
    <w:p w14:paraId="15BB350A">
      <w:pPr>
        <w:spacing w:line="500" w:lineRule="exact"/>
        <w:rPr>
          <w:rFonts w:hint="eastAsia" w:ascii="仿宋" w:hAnsi="仿宋" w:eastAsia="仿宋" w:cs="仿宋"/>
          <w:bCs/>
          <w:color w:val="auto"/>
          <w:sz w:val="28"/>
          <w:szCs w:val="28"/>
        </w:rPr>
      </w:pPr>
    </w:p>
    <w:p w14:paraId="6F5D6C2B">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14EC65B4">
      <w:pPr>
        <w:spacing w:line="500" w:lineRule="exact"/>
        <w:rPr>
          <w:rFonts w:hint="eastAsia" w:ascii="仿宋" w:hAnsi="仿宋" w:eastAsia="仿宋" w:cs="仿宋"/>
          <w:bCs/>
          <w:color w:val="auto"/>
          <w:sz w:val="28"/>
          <w:szCs w:val="28"/>
        </w:rPr>
      </w:pPr>
    </w:p>
    <w:p w14:paraId="2592333D">
      <w:pPr>
        <w:numPr>
          <w:ilvl w:val="255"/>
          <w:numId w:val="0"/>
        </w:numPr>
        <w:adjustRightInd w:val="0"/>
        <w:spacing w:line="480" w:lineRule="auto"/>
        <w:ind w:left="0"/>
        <w:jc w:val="left"/>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五、投标文件PDF格式的电子档U盘一份</w:t>
      </w:r>
    </w:p>
    <w:p w14:paraId="74C47663">
      <w:pPr>
        <w:adjustRightInd w:val="0"/>
        <w:spacing w:line="480" w:lineRule="auto"/>
        <w:jc w:val="left"/>
        <w:rPr>
          <w:rFonts w:hint="eastAsia" w:ascii="仿宋" w:hAnsi="仿宋" w:eastAsia="仿宋" w:cs="仿宋"/>
          <w:color w:val="auto"/>
          <w:sz w:val="28"/>
          <w:szCs w:val="28"/>
        </w:rPr>
      </w:pPr>
    </w:p>
    <w:p w14:paraId="2FFE9BE4">
      <w:pPr>
        <w:adjustRightInd w:val="0"/>
        <w:spacing w:line="480" w:lineRule="auto"/>
        <w:jc w:val="left"/>
        <w:rPr>
          <w:rFonts w:hint="eastAsia" w:ascii="仿宋" w:hAnsi="仿宋" w:eastAsia="仿宋" w:cs="仿宋"/>
          <w:color w:val="auto"/>
          <w:sz w:val="28"/>
          <w:szCs w:val="28"/>
        </w:rPr>
      </w:pPr>
    </w:p>
    <w:p w14:paraId="55AF5145">
      <w:pPr>
        <w:adjustRightInd w:val="0"/>
        <w:spacing w:line="480" w:lineRule="auto"/>
        <w:jc w:val="left"/>
        <w:rPr>
          <w:rFonts w:hint="eastAsia" w:ascii="仿宋" w:hAnsi="仿宋" w:eastAsia="仿宋" w:cs="仿宋"/>
          <w:color w:val="auto"/>
          <w:sz w:val="28"/>
          <w:szCs w:val="28"/>
        </w:rPr>
      </w:pPr>
    </w:p>
    <w:p w14:paraId="41CD9CEE">
      <w:pPr>
        <w:adjustRightInd w:val="0"/>
        <w:spacing w:line="480" w:lineRule="auto"/>
        <w:jc w:val="left"/>
        <w:rPr>
          <w:rFonts w:hint="eastAsia" w:ascii="仿宋" w:hAnsi="仿宋" w:eastAsia="仿宋" w:cs="仿宋"/>
          <w:color w:val="auto"/>
          <w:sz w:val="28"/>
          <w:szCs w:val="28"/>
        </w:rPr>
      </w:pPr>
    </w:p>
    <w:p w14:paraId="080A40A3">
      <w:pPr>
        <w:adjustRightInd w:val="0"/>
        <w:spacing w:line="480" w:lineRule="auto"/>
        <w:jc w:val="left"/>
        <w:rPr>
          <w:rFonts w:hint="eastAsia" w:ascii="仿宋" w:hAnsi="仿宋" w:eastAsia="仿宋" w:cs="仿宋"/>
          <w:color w:val="auto"/>
          <w:sz w:val="28"/>
          <w:szCs w:val="28"/>
        </w:rPr>
      </w:pPr>
    </w:p>
    <w:p w14:paraId="0C5E6F74">
      <w:pPr>
        <w:adjustRightInd w:val="0"/>
        <w:spacing w:line="480" w:lineRule="auto"/>
        <w:jc w:val="left"/>
        <w:rPr>
          <w:rFonts w:hint="eastAsia" w:ascii="仿宋" w:hAnsi="仿宋" w:eastAsia="仿宋" w:cs="仿宋"/>
          <w:color w:val="auto"/>
          <w:sz w:val="28"/>
          <w:szCs w:val="28"/>
        </w:rPr>
      </w:pPr>
    </w:p>
    <w:p w14:paraId="1DE67E7F">
      <w:pPr>
        <w:adjustRightInd w:val="0"/>
        <w:spacing w:line="480" w:lineRule="auto"/>
        <w:jc w:val="left"/>
        <w:rPr>
          <w:rFonts w:hint="eastAsia" w:ascii="仿宋" w:hAnsi="仿宋" w:eastAsia="仿宋" w:cs="仿宋"/>
          <w:color w:val="auto"/>
          <w:sz w:val="28"/>
          <w:szCs w:val="28"/>
        </w:rPr>
      </w:pPr>
    </w:p>
    <w:p w14:paraId="2E8FA14F">
      <w:pPr>
        <w:adjustRightInd w:val="0"/>
        <w:spacing w:line="480" w:lineRule="auto"/>
        <w:jc w:val="left"/>
        <w:rPr>
          <w:rFonts w:hint="eastAsia" w:ascii="仿宋" w:hAnsi="仿宋" w:eastAsia="仿宋" w:cs="仿宋"/>
          <w:color w:val="auto"/>
          <w:sz w:val="28"/>
          <w:szCs w:val="28"/>
        </w:rPr>
      </w:pPr>
    </w:p>
    <w:p w14:paraId="572C1F00">
      <w:pPr>
        <w:adjustRightInd w:val="0"/>
        <w:spacing w:line="480" w:lineRule="auto"/>
        <w:jc w:val="left"/>
        <w:rPr>
          <w:rFonts w:hint="eastAsia" w:ascii="仿宋" w:hAnsi="仿宋" w:eastAsia="仿宋" w:cs="仿宋"/>
          <w:color w:val="auto"/>
          <w:sz w:val="28"/>
          <w:szCs w:val="28"/>
        </w:rPr>
      </w:pPr>
    </w:p>
    <w:p w14:paraId="52AE31E5">
      <w:pPr>
        <w:adjustRightInd w:val="0"/>
        <w:spacing w:line="480" w:lineRule="auto"/>
        <w:jc w:val="left"/>
        <w:rPr>
          <w:rFonts w:hint="eastAsia" w:ascii="仿宋" w:hAnsi="仿宋" w:eastAsia="仿宋" w:cs="仿宋"/>
          <w:color w:val="auto"/>
          <w:sz w:val="28"/>
          <w:szCs w:val="28"/>
        </w:rPr>
      </w:pPr>
    </w:p>
    <w:p w14:paraId="7FBCF16F">
      <w:pPr>
        <w:adjustRightInd w:val="0"/>
        <w:spacing w:line="480" w:lineRule="auto"/>
        <w:jc w:val="left"/>
        <w:rPr>
          <w:rFonts w:hint="eastAsia" w:ascii="仿宋" w:hAnsi="仿宋" w:eastAsia="仿宋" w:cs="仿宋"/>
          <w:color w:val="auto"/>
          <w:sz w:val="28"/>
          <w:szCs w:val="28"/>
        </w:rPr>
      </w:pPr>
    </w:p>
    <w:p w14:paraId="0E8727F6">
      <w:pPr>
        <w:adjustRightInd w:val="0"/>
        <w:spacing w:line="480" w:lineRule="auto"/>
        <w:jc w:val="left"/>
        <w:rPr>
          <w:rFonts w:hint="eastAsia" w:ascii="仿宋" w:hAnsi="仿宋" w:eastAsia="仿宋" w:cs="仿宋"/>
          <w:color w:val="auto"/>
          <w:sz w:val="28"/>
          <w:szCs w:val="28"/>
        </w:rPr>
      </w:pPr>
    </w:p>
    <w:p w14:paraId="7214CCED">
      <w:pPr>
        <w:adjustRightInd w:val="0"/>
        <w:spacing w:line="480" w:lineRule="auto"/>
        <w:jc w:val="left"/>
        <w:rPr>
          <w:rFonts w:hint="eastAsia" w:ascii="仿宋" w:hAnsi="仿宋" w:eastAsia="仿宋" w:cs="仿宋"/>
          <w:color w:val="auto"/>
          <w:sz w:val="28"/>
          <w:szCs w:val="28"/>
        </w:rPr>
      </w:pPr>
    </w:p>
    <w:p w14:paraId="230681A8">
      <w:pPr>
        <w:adjustRightInd w:val="0"/>
        <w:spacing w:line="480" w:lineRule="auto"/>
        <w:jc w:val="left"/>
        <w:rPr>
          <w:rFonts w:hint="eastAsia" w:ascii="仿宋" w:hAnsi="仿宋" w:eastAsia="仿宋" w:cs="仿宋"/>
          <w:color w:val="auto"/>
          <w:sz w:val="28"/>
          <w:szCs w:val="28"/>
        </w:rPr>
      </w:pPr>
    </w:p>
    <w:p w14:paraId="4BA8D0B0">
      <w:pPr>
        <w:adjustRightInd w:val="0"/>
        <w:spacing w:line="480" w:lineRule="auto"/>
        <w:jc w:val="left"/>
        <w:rPr>
          <w:rFonts w:hint="eastAsia" w:ascii="仿宋" w:hAnsi="仿宋" w:eastAsia="仿宋" w:cs="仿宋"/>
          <w:color w:val="auto"/>
          <w:sz w:val="28"/>
          <w:szCs w:val="28"/>
        </w:rPr>
      </w:pPr>
    </w:p>
    <w:p w14:paraId="265AD4CB">
      <w:pPr>
        <w:adjustRightInd w:val="0"/>
        <w:spacing w:line="480" w:lineRule="auto"/>
        <w:jc w:val="left"/>
        <w:rPr>
          <w:rFonts w:hint="eastAsia" w:ascii="仿宋" w:hAnsi="仿宋" w:eastAsia="仿宋" w:cs="仿宋"/>
          <w:color w:val="auto"/>
          <w:sz w:val="28"/>
          <w:szCs w:val="28"/>
        </w:rPr>
      </w:pPr>
    </w:p>
    <w:p w14:paraId="05A235F5">
      <w:pPr>
        <w:adjustRightInd w:val="0"/>
        <w:spacing w:line="480" w:lineRule="auto"/>
        <w:jc w:val="left"/>
        <w:rPr>
          <w:rFonts w:hint="eastAsia" w:ascii="仿宋" w:hAnsi="仿宋" w:eastAsia="仿宋" w:cs="仿宋"/>
          <w:color w:val="auto"/>
          <w:sz w:val="28"/>
          <w:szCs w:val="28"/>
        </w:rPr>
      </w:pPr>
    </w:p>
    <w:p w14:paraId="3AFCB30C">
      <w:pPr>
        <w:adjustRightInd w:val="0"/>
        <w:spacing w:line="480" w:lineRule="auto"/>
        <w:jc w:val="left"/>
        <w:rPr>
          <w:rFonts w:hint="eastAsia" w:ascii="仿宋" w:hAnsi="仿宋" w:eastAsia="仿宋" w:cs="仿宋"/>
          <w:color w:val="auto"/>
          <w:sz w:val="28"/>
          <w:szCs w:val="28"/>
        </w:rPr>
      </w:pPr>
    </w:p>
    <w:p w14:paraId="4A91517B">
      <w:pPr>
        <w:adjustRightInd w:val="0"/>
        <w:spacing w:line="480" w:lineRule="auto"/>
        <w:ind w:left="24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六、招标文件购买费缴纳凭据</w:t>
      </w:r>
    </w:p>
    <w:p w14:paraId="43EFC362">
      <w:pPr>
        <w:snapToGrid w:val="0"/>
        <w:spacing w:line="360" w:lineRule="auto"/>
        <w:ind w:firstLine="560" w:firstLineChars="200"/>
        <w:jc w:val="left"/>
        <w:rPr>
          <w:rFonts w:hint="eastAsia" w:ascii="仿宋" w:hAnsi="仿宋" w:eastAsia="仿宋" w:cs="仿宋"/>
          <w:color w:val="auto"/>
          <w:sz w:val="28"/>
          <w:szCs w:val="28"/>
        </w:rPr>
      </w:pPr>
    </w:p>
    <w:p w14:paraId="60276F6D">
      <w:pPr>
        <w:snapToGrid w:val="0"/>
        <w:spacing w:line="360" w:lineRule="auto"/>
        <w:ind w:firstLine="560" w:firstLineChars="200"/>
        <w:jc w:val="left"/>
        <w:rPr>
          <w:rFonts w:hint="eastAsia" w:ascii="仿宋" w:hAnsi="仿宋" w:eastAsia="仿宋" w:cs="仿宋"/>
          <w:color w:val="auto"/>
          <w:sz w:val="28"/>
          <w:szCs w:val="28"/>
        </w:rPr>
      </w:pPr>
    </w:p>
    <w:p w14:paraId="63EA86DB">
      <w:pPr>
        <w:snapToGrid w:val="0"/>
        <w:spacing w:line="360" w:lineRule="auto"/>
        <w:ind w:firstLine="560" w:firstLineChars="200"/>
        <w:jc w:val="left"/>
        <w:rPr>
          <w:rFonts w:hint="eastAsia" w:ascii="仿宋" w:hAnsi="仿宋" w:eastAsia="仿宋" w:cs="仿宋"/>
          <w:color w:val="auto"/>
          <w:sz w:val="28"/>
          <w:szCs w:val="28"/>
        </w:rPr>
      </w:pPr>
    </w:p>
    <w:p w14:paraId="37446CBB">
      <w:pPr>
        <w:snapToGrid w:val="0"/>
        <w:spacing w:line="360" w:lineRule="auto"/>
        <w:ind w:firstLine="560" w:firstLineChars="200"/>
        <w:jc w:val="left"/>
        <w:rPr>
          <w:rFonts w:hint="eastAsia" w:ascii="仿宋" w:hAnsi="仿宋" w:eastAsia="仿宋" w:cs="仿宋"/>
          <w:color w:val="auto"/>
          <w:sz w:val="28"/>
          <w:szCs w:val="28"/>
        </w:rPr>
      </w:pPr>
    </w:p>
    <w:p w14:paraId="570C0E5C">
      <w:pPr>
        <w:snapToGrid w:val="0"/>
        <w:spacing w:line="360" w:lineRule="auto"/>
        <w:ind w:firstLine="560" w:firstLineChars="200"/>
        <w:jc w:val="left"/>
        <w:rPr>
          <w:rFonts w:hint="eastAsia" w:ascii="仿宋" w:hAnsi="仿宋" w:eastAsia="仿宋" w:cs="仿宋"/>
          <w:color w:val="auto"/>
          <w:sz w:val="28"/>
          <w:szCs w:val="28"/>
        </w:rPr>
      </w:pPr>
    </w:p>
    <w:p w14:paraId="048FC3C1">
      <w:pPr>
        <w:snapToGrid w:val="0"/>
        <w:spacing w:line="360" w:lineRule="auto"/>
        <w:ind w:firstLine="560" w:firstLineChars="200"/>
        <w:jc w:val="left"/>
        <w:rPr>
          <w:rFonts w:hint="eastAsia" w:ascii="仿宋" w:hAnsi="仿宋" w:eastAsia="仿宋" w:cs="仿宋"/>
          <w:color w:val="auto"/>
          <w:sz w:val="28"/>
          <w:szCs w:val="28"/>
        </w:rPr>
      </w:pPr>
    </w:p>
    <w:p w14:paraId="1A557EE9">
      <w:pPr>
        <w:snapToGrid w:val="0"/>
        <w:spacing w:line="360" w:lineRule="auto"/>
        <w:ind w:firstLine="560" w:firstLineChars="200"/>
        <w:jc w:val="left"/>
        <w:rPr>
          <w:rFonts w:hint="eastAsia" w:ascii="仿宋" w:hAnsi="仿宋" w:eastAsia="仿宋" w:cs="仿宋"/>
          <w:color w:val="auto"/>
          <w:sz w:val="28"/>
          <w:szCs w:val="28"/>
        </w:rPr>
      </w:pPr>
    </w:p>
    <w:p w14:paraId="5CF2622C">
      <w:pPr>
        <w:snapToGrid w:val="0"/>
        <w:spacing w:line="360" w:lineRule="auto"/>
        <w:ind w:firstLine="560" w:firstLineChars="200"/>
        <w:jc w:val="left"/>
        <w:rPr>
          <w:rFonts w:hint="eastAsia" w:ascii="仿宋" w:hAnsi="仿宋" w:eastAsia="仿宋" w:cs="仿宋"/>
          <w:color w:val="auto"/>
          <w:sz w:val="28"/>
          <w:szCs w:val="28"/>
        </w:rPr>
      </w:pPr>
    </w:p>
    <w:p w14:paraId="59AD0E4B">
      <w:pPr>
        <w:snapToGrid w:val="0"/>
        <w:spacing w:line="360" w:lineRule="auto"/>
        <w:ind w:firstLine="560" w:firstLineChars="200"/>
        <w:jc w:val="left"/>
        <w:rPr>
          <w:rFonts w:hint="eastAsia" w:ascii="仿宋" w:hAnsi="仿宋" w:eastAsia="仿宋" w:cs="仿宋"/>
          <w:color w:val="auto"/>
          <w:sz w:val="28"/>
          <w:szCs w:val="28"/>
        </w:rPr>
      </w:pPr>
    </w:p>
    <w:p w14:paraId="5F0A4B0E">
      <w:pPr>
        <w:snapToGrid w:val="0"/>
        <w:spacing w:line="360" w:lineRule="auto"/>
        <w:ind w:firstLine="560" w:firstLineChars="200"/>
        <w:jc w:val="left"/>
        <w:rPr>
          <w:rFonts w:hint="eastAsia" w:ascii="仿宋" w:hAnsi="仿宋" w:eastAsia="仿宋" w:cs="仿宋"/>
          <w:color w:val="auto"/>
          <w:sz w:val="28"/>
          <w:szCs w:val="28"/>
        </w:rPr>
      </w:pPr>
    </w:p>
    <w:p w14:paraId="28EE42EF">
      <w:pPr>
        <w:snapToGrid w:val="0"/>
        <w:spacing w:line="360" w:lineRule="auto"/>
        <w:ind w:firstLine="560" w:firstLineChars="200"/>
        <w:jc w:val="left"/>
        <w:rPr>
          <w:rFonts w:hint="eastAsia" w:ascii="仿宋" w:hAnsi="仿宋" w:eastAsia="仿宋" w:cs="仿宋"/>
          <w:color w:val="auto"/>
          <w:sz w:val="28"/>
          <w:szCs w:val="28"/>
        </w:rPr>
      </w:pPr>
    </w:p>
    <w:p w14:paraId="578AA569">
      <w:pPr>
        <w:snapToGrid w:val="0"/>
        <w:spacing w:line="360" w:lineRule="auto"/>
        <w:ind w:firstLine="560" w:firstLineChars="200"/>
        <w:jc w:val="left"/>
        <w:rPr>
          <w:rFonts w:hint="eastAsia" w:ascii="仿宋" w:hAnsi="仿宋" w:eastAsia="仿宋" w:cs="仿宋"/>
          <w:color w:val="auto"/>
          <w:sz w:val="28"/>
          <w:szCs w:val="28"/>
        </w:rPr>
      </w:pPr>
    </w:p>
    <w:p w14:paraId="7D506D0B">
      <w:pPr>
        <w:snapToGrid w:val="0"/>
        <w:spacing w:line="360" w:lineRule="auto"/>
        <w:ind w:firstLine="560" w:firstLineChars="200"/>
        <w:jc w:val="left"/>
        <w:rPr>
          <w:rFonts w:hint="eastAsia" w:ascii="仿宋" w:hAnsi="仿宋" w:eastAsia="仿宋" w:cs="仿宋"/>
          <w:color w:val="auto"/>
          <w:sz w:val="28"/>
          <w:szCs w:val="28"/>
        </w:rPr>
      </w:pPr>
    </w:p>
    <w:p w14:paraId="11744558">
      <w:pPr>
        <w:snapToGrid w:val="0"/>
        <w:spacing w:line="360" w:lineRule="auto"/>
        <w:ind w:firstLine="560" w:firstLineChars="200"/>
        <w:jc w:val="left"/>
        <w:rPr>
          <w:rFonts w:hint="eastAsia" w:ascii="仿宋" w:hAnsi="仿宋" w:eastAsia="仿宋" w:cs="仿宋"/>
          <w:color w:val="auto"/>
          <w:sz w:val="28"/>
          <w:szCs w:val="28"/>
        </w:rPr>
      </w:pPr>
    </w:p>
    <w:p w14:paraId="34950EAC">
      <w:pPr>
        <w:snapToGrid w:val="0"/>
        <w:spacing w:line="360" w:lineRule="auto"/>
        <w:ind w:firstLine="560" w:firstLineChars="200"/>
        <w:jc w:val="left"/>
        <w:rPr>
          <w:rFonts w:hint="eastAsia" w:ascii="仿宋" w:hAnsi="仿宋" w:eastAsia="仿宋" w:cs="仿宋"/>
          <w:color w:val="auto"/>
          <w:sz w:val="28"/>
          <w:szCs w:val="28"/>
        </w:rPr>
      </w:pPr>
    </w:p>
    <w:p w14:paraId="55609DD2">
      <w:pPr>
        <w:snapToGrid w:val="0"/>
        <w:spacing w:line="360" w:lineRule="auto"/>
        <w:ind w:firstLine="560" w:firstLineChars="200"/>
        <w:jc w:val="left"/>
        <w:rPr>
          <w:rFonts w:hint="eastAsia" w:ascii="仿宋" w:hAnsi="仿宋" w:eastAsia="仿宋" w:cs="仿宋"/>
          <w:color w:val="auto"/>
          <w:sz w:val="28"/>
          <w:szCs w:val="28"/>
        </w:rPr>
      </w:pPr>
    </w:p>
    <w:p w14:paraId="76936A1C">
      <w:pPr>
        <w:snapToGrid w:val="0"/>
        <w:spacing w:line="360" w:lineRule="auto"/>
        <w:ind w:firstLine="560" w:firstLineChars="200"/>
        <w:jc w:val="left"/>
        <w:rPr>
          <w:rFonts w:hint="eastAsia" w:ascii="仿宋" w:hAnsi="仿宋" w:eastAsia="仿宋" w:cs="仿宋"/>
          <w:color w:val="auto"/>
          <w:sz w:val="28"/>
          <w:szCs w:val="28"/>
        </w:rPr>
      </w:pPr>
    </w:p>
    <w:p w14:paraId="105AB8CC">
      <w:pPr>
        <w:snapToGrid w:val="0"/>
        <w:spacing w:line="360" w:lineRule="auto"/>
        <w:ind w:firstLine="560" w:firstLineChars="200"/>
        <w:jc w:val="left"/>
        <w:rPr>
          <w:rFonts w:hint="eastAsia" w:ascii="仿宋" w:hAnsi="仿宋" w:eastAsia="仿宋" w:cs="仿宋"/>
          <w:color w:val="auto"/>
          <w:sz w:val="28"/>
          <w:szCs w:val="28"/>
        </w:rPr>
      </w:pPr>
    </w:p>
    <w:p w14:paraId="03703112">
      <w:pPr>
        <w:snapToGrid w:val="0"/>
        <w:spacing w:line="360" w:lineRule="auto"/>
        <w:ind w:firstLine="560" w:firstLineChars="200"/>
        <w:jc w:val="left"/>
        <w:rPr>
          <w:rFonts w:hint="eastAsia" w:ascii="仿宋" w:hAnsi="仿宋" w:eastAsia="仿宋" w:cs="仿宋"/>
          <w:color w:val="auto"/>
          <w:sz w:val="28"/>
          <w:szCs w:val="28"/>
        </w:rPr>
      </w:pPr>
    </w:p>
    <w:p w14:paraId="0217338B">
      <w:pPr>
        <w:snapToGrid w:val="0"/>
        <w:spacing w:line="360" w:lineRule="auto"/>
        <w:ind w:firstLine="560" w:firstLineChars="200"/>
        <w:jc w:val="left"/>
        <w:rPr>
          <w:rFonts w:hint="eastAsia" w:ascii="仿宋" w:hAnsi="仿宋" w:eastAsia="仿宋" w:cs="仿宋"/>
          <w:color w:val="auto"/>
          <w:sz w:val="28"/>
          <w:szCs w:val="28"/>
        </w:rPr>
      </w:pPr>
    </w:p>
    <w:p w14:paraId="4F211138">
      <w:pPr>
        <w:snapToGrid w:val="0"/>
        <w:spacing w:line="360" w:lineRule="auto"/>
        <w:ind w:firstLine="560" w:firstLineChars="200"/>
        <w:jc w:val="left"/>
        <w:rPr>
          <w:rFonts w:hint="eastAsia" w:ascii="仿宋" w:hAnsi="仿宋" w:eastAsia="仿宋" w:cs="仿宋"/>
          <w:color w:val="auto"/>
          <w:sz w:val="28"/>
          <w:szCs w:val="28"/>
        </w:rPr>
      </w:pPr>
    </w:p>
    <w:p w14:paraId="429E7440">
      <w:pPr>
        <w:snapToGrid w:val="0"/>
        <w:spacing w:line="360" w:lineRule="auto"/>
        <w:ind w:firstLine="560" w:firstLineChars="200"/>
        <w:jc w:val="left"/>
        <w:rPr>
          <w:rFonts w:hint="eastAsia" w:ascii="仿宋" w:hAnsi="仿宋" w:eastAsia="仿宋" w:cs="仿宋"/>
          <w:color w:val="auto"/>
          <w:sz w:val="28"/>
          <w:szCs w:val="28"/>
        </w:rPr>
      </w:pPr>
    </w:p>
    <w:p w14:paraId="1F23ECD8">
      <w:pPr>
        <w:widowControl/>
        <w:numPr>
          <w:ilvl w:val="255"/>
          <w:numId w:val="0"/>
        </w:numPr>
        <w:tabs>
          <w:tab w:val="left" w:pos="6300"/>
        </w:tabs>
        <w:adjustRightInd/>
        <w:snapToGrid w:val="0"/>
        <w:spacing w:line="500" w:lineRule="exact"/>
        <w:jc w:val="center"/>
        <w:outlineLvl w:val="0"/>
        <w:rPr>
          <w:rFonts w:ascii="Times New Roman" w:hAnsi="Times New Roman" w:eastAsia="方正仿宋_GBK" w:cs="Times New Roman"/>
          <w:color w:val="auto"/>
          <w:sz w:val="28"/>
          <w:szCs w:val="28"/>
        </w:rPr>
      </w:pPr>
      <w:bookmarkStart w:id="368" w:name="_Toc3755"/>
      <w:r>
        <w:rPr>
          <w:rFonts w:hint="eastAsia" w:cs="方正仿宋_GBK" w:asciiTheme="minorEastAsia" w:hAnsiTheme="minorEastAsia" w:eastAsiaTheme="minorEastAsia"/>
          <w:color w:val="auto"/>
        </w:rPr>
        <w:t>（结束）</w:t>
      </w:r>
      <w:bookmarkEnd w:id="368"/>
    </w:p>
    <w:p w14:paraId="4041F07D">
      <w:pPr>
        <w:adjustRightInd w:val="0"/>
        <w:spacing w:line="480" w:lineRule="auto"/>
        <w:jc w:val="left"/>
        <w:rPr>
          <w:rFonts w:ascii="Times New Roman" w:hAnsi="Times New Roman" w:eastAsia="方正仿宋_GBK" w:cs="Times New Roman"/>
          <w:color w:val="auto"/>
          <w:sz w:val="28"/>
          <w:szCs w:val="28"/>
        </w:rPr>
      </w:pPr>
    </w:p>
    <w:sectPr>
      <w:pgSz w:w="11905" w:h="16838"/>
      <w:pgMar w:top="1440" w:right="1468" w:bottom="1440" w:left="1440" w:header="851" w:footer="992" w:gutter="0"/>
      <w:pgNumType w:chapStyle="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yyb"/>
    <w:panose1 w:val="00000000000000000000"/>
    <w:charset w:val="50"/>
    <w:family w:val="auto"/>
    <w:pitch w:val="default"/>
    <w:sig w:usb0="00000000" w:usb1="00000000" w:usb2="00000010" w:usb3="00000000" w:csb0="003E0000" w:csb1="00000000"/>
  </w:font>
  <w:font w:name="yyb">
    <w:panose1 w:val="020B0200000000000000"/>
    <w:charset w:val="86"/>
    <w:family w:val="auto"/>
    <w:pitch w:val="default"/>
    <w:sig w:usb0="20000083" w:usb1="10000000" w:usb2="00000016" w:usb3="00000000" w:csb0="60060107"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Segoe Print"/>
    <w:panose1 w:val="00000000000000000000"/>
    <w:charset w:val="4E"/>
    <w:family w:val="auto"/>
    <w:pitch w:val="default"/>
    <w:sig w:usb0="00000000" w:usb1="00000000" w:usb2="00000012" w:usb3="00000000" w:csb0="0002000D" w:csb1="00000000"/>
  </w:font>
  <w:font w:name="Segoe Print">
    <w:panose1 w:val="02000600000000000000"/>
    <w:charset w:val="00"/>
    <w:family w:val="auto"/>
    <w:pitch w:val="default"/>
    <w:sig w:usb0="0000028F" w:usb1="00000000" w:usb2="00000000" w:usb3="00000000" w:csb0="2000009F" w:csb1="4701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4C47BB7">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40CAFBC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B677">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BFEC0"/>
    <w:multiLevelType w:val="singleLevel"/>
    <w:tmpl w:val="8DDBFEC0"/>
    <w:lvl w:ilvl="0" w:tentative="0">
      <w:start w:val="3"/>
      <w:numFmt w:val="decimal"/>
      <w:lvlText w:val="(%1)"/>
      <w:lvlJc w:val="left"/>
      <w:pPr>
        <w:tabs>
          <w:tab w:val="left" w:pos="312"/>
        </w:tabs>
      </w:pPr>
    </w:lvl>
  </w:abstractNum>
  <w:abstractNum w:abstractNumId="1">
    <w:nsid w:val="E814C82C"/>
    <w:multiLevelType w:val="singleLevel"/>
    <w:tmpl w:val="E814C82C"/>
    <w:lvl w:ilvl="0" w:tentative="0">
      <w:start w:val="1"/>
      <w:numFmt w:val="decimal"/>
      <w:lvlText w:val="%1."/>
      <w:lvlJc w:val="left"/>
      <w:pPr>
        <w:tabs>
          <w:tab w:val="left" w:pos="312"/>
        </w:tabs>
      </w:pPr>
    </w:lvl>
  </w:abstractNum>
  <w:abstractNum w:abstractNumId="2">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01A05FF"/>
    <w:multiLevelType w:val="singleLevel"/>
    <w:tmpl w:val="301A05FF"/>
    <w:lvl w:ilvl="0" w:tentative="0">
      <w:start w:val="1"/>
      <w:numFmt w:val="decimal"/>
      <w:lvlText w:val="%1."/>
      <w:lvlJc w:val="left"/>
      <w:pPr>
        <w:tabs>
          <w:tab w:val="left" w:pos="312"/>
        </w:tabs>
      </w:pPr>
    </w:lvl>
  </w:abstractNum>
  <w:abstractNum w:abstractNumId="6">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5FCF45A"/>
    <w:multiLevelType w:val="singleLevel"/>
    <w:tmpl w:val="55FCF45A"/>
    <w:lvl w:ilvl="0" w:tentative="0">
      <w:start w:val="1"/>
      <w:numFmt w:val="chineseCounting"/>
      <w:suff w:val="nothing"/>
      <w:lvlText w:val="%1、"/>
      <w:lvlJc w:val="left"/>
      <w:rPr>
        <w:rFonts w:hint="eastAsia"/>
      </w:rPr>
    </w:lvl>
  </w:abstractNum>
  <w:abstractNum w:abstractNumId="8">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5ED06365"/>
    <w:multiLevelType w:val="singleLevel"/>
    <w:tmpl w:val="5ED06365"/>
    <w:lvl w:ilvl="0" w:tentative="0">
      <w:start w:val="1"/>
      <w:numFmt w:val="chineseCounting"/>
      <w:suff w:val="nothing"/>
      <w:lvlText w:val="（%1）"/>
      <w:lvlJc w:val="left"/>
      <w:rPr>
        <w:rFonts w:hint="eastAsia"/>
      </w:rPr>
    </w:lvl>
  </w:abstractNum>
  <w:abstractNum w:abstractNumId="10">
    <w:nsid w:val="63905D54"/>
    <w:multiLevelType w:val="singleLevel"/>
    <w:tmpl w:val="63905D54"/>
    <w:lvl w:ilvl="0" w:tentative="0">
      <w:start w:val="3"/>
      <w:numFmt w:val="chineseCounting"/>
      <w:suff w:val="nothing"/>
      <w:lvlText w:val="（%1）"/>
      <w:lvlJc w:val="left"/>
      <w:rPr>
        <w:rFonts w:hint="eastAsia"/>
      </w:rPr>
    </w:lvl>
  </w:abstractNum>
  <w:abstractNum w:abstractNumId="11">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3">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7A773FD1"/>
    <w:multiLevelType w:val="singleLevel"/>
    <w:tmpl w:val="7A773FD1"/>
    <w:lvl w:ilvl="0" w:tentative="0">
      <w:start w:val="2"/>
      <w:numFmt w:val="chineseCounting"/>
      <w:suff w:val="nothing"/>
      <w:lvlText w:val="（%1）"/>
      <w:lvlJc w:val="left"/>
      <w:rPr>
        <w:rFonts w:hint="eastAsia"/>
      </w:rPr>
    </w:lvl>
  </w:abstractNum>
  <w:abstractNum w:abstractNumId="15">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11"/>
  </w:num>
  <w:num w:numId="5">
    <w:abstractNumId w:val="13"/>
  </w:num>
  <w:num w:numId="6">
    <w:abstractNumId w:val="8"/>
  </w:num>
  <w:num w:numId="7">
    <w:abstractNumId w:val="12"/>
  </w:num>
  <w:num w:numId="8">
    <w:abstractNumId w:val="6"/>
  </w:num>
  <w:num w:numId="9">
    <w:abstractNumId w:val="15"/>
  </w:num>
  <w:num w:numId="10">
    <w:abstractNumId w:val="5"/>
  </w:num>
  <w:num w:numId="11">
    <w:abstractNumId w:val="1"/>
  </w:num>
  <w:num w:numId="12">
    <w:abstractNumId w:val="7"/>
  </w:num>
  <w:num w:numId="13">
    <w:abstractNumId w:val="0"/>
  </w:num>
  <w:num w:numId="14">
    <w:abstractNumId w:val="1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381D"/>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037F"/>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47B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38A5"/>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29F2"/>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5A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A26"/>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54DC9"/>
    <w:rsid w:val="02910324"/>
    <w:rsid w:val="02B85023"/>
    <w:rsid w:val="02C646E1"/>
    <w:rsid w:val="02DB4857"/>
    <w:rsid w:val="032B0404"/>
    <w:rsid w:val="033B2D46"/>
    <w:rsid w:val="03541CED"/>
    <w:rsid w:val="035A307B"/>
    <w:rsid w:val="0367592F"/>
    <w:rsid w:val="037A00EA"/>
    <w:rsid w:val="037C1244"/>
    <w:rsid w:val="037D6E4A"/>
    <w:rsid w:val="03CC3FA2"/>
    <w:rsid w:val="03DF58AF"/>
    <w:rsid w:val="03E70A1E"/>
    <w:rsid w:val="040D6D19"/>
    <w:rsid w:val="045A67DF"/>
    <w:rsid w:val="045D2E23"/>
    <w:rsid w:val="04612981"/>
    <w:rsid w:val="04617C78"/>
    <w:rsid w:val="0492290C"/>
    <w:rsid w:val="04973A9F"/>
    <w:rsid w:val="04EA03AB"/>
    <w:rsid w:val="04F548E2"/>
    <w:rsid w:val="053E6976"/>
    <w:rsid w:val="05911CD7"/>
    <w:rsid w:val="05DC6B2A"/>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244C5"/>
    <w:rsid w:val="0948190B"/>
    <w:rsid w:val="0993037E"/>
    <w:rsid w:val="0A872E9B"/>
    <w:rsid w:val="0AA870F7"/>
    <w:rsid w:val="0AB319EF"/>
    <w:rsid w:val="0ABB32B3"/>
    <w:rsid w:val="0AF6127C"/>
    <w:rsid w:val="0B261DB7"/>
    <w:rsid w:val="0B4D7D2D"/>
    <w:rsid w:val="0B7962BE"/>
    <w:rsid w:val="0BBA5769"/>
    <w:rsid w:val="0C105DFF"/>
    <w:rsid w:val="0C684A5B"/>
    <w:rsid w:val="0CB5287D"/>
    <w:rsid w:val="0CBD4ADC"/>
    <w:rsid w:val="0CCA3020"/>
    <w:rsid w:val="0CFC317C"/>
    <w:rsid w:val="0D0447AC"/>
    <w:rsid w:val="0E135899"/>
    <w:rsid w:val="0E4B0A3C"/>
    <w:rsid w:val="0E6275D1"/>
    <w:rsid w:val="0EB46E08"/>
    <w:rsid w:val="0EC64E38"/>
    <w:rsid w:val="0EEC1973"/>
    <w:rsid w:val="0EFF2FF5"/>
    <w:rsid w:val="0F0A2E70"/>
    <w:rsid w:val="0F264FE7"/>
    <w:rsid w:val="0F3946C8"/>
    <w:rsid w:val="0F3C5346"/>
    <w:rsid w:val="0F621390"/>
    <w:rsid w:val="0FA259DA"/>
    <w:rsid w:val="0FAC7325"/>
    <w:rsid w:val="0FE35EA0"/>
    <w:rsid w:val="0FEB079C"/>
    <w:rsid w:val="0FFA2218"/>
    <w:rsid w:val="10EF4D6C"/>
    <w:rsid w:val="11367AC0"/>
    <w:rsid w:val="11660D9C"/>
    <w:rsid w:val="118D1664"/>
    <w:rsid w:val="119B58FC"/>
    <w:rsid w:val="11A101D6"/>
    <w:rsid w:val="11B06C17"/>
    <w:rsid w:val="11B83C77"/>
    <w:rsid w:val="120D6082"/>
    <w:rsid w:val="122711D7"/>
    <w:rsid w:val="1230330D"/>
    <w:rsid w:val="12B50068"/>
    <w:rsid w:val="12CA37D0"/>
    <w:rsid w:val="12F23895"/>
    <w:rsid w:val="1331204B"/>
    <w:rsid w:val="13434203"/>
    <w:rsid w:val="139D752A"/>
    <w:rsid w:val="13F526AA"/>
    <w:rsid w:val="142152D6"/>
    <w:rsid w:val="14CB5D17"/>
    <w:rsid w:val="14DF5063"/>
    <w:rsid w:val="14FD23D7"/>
    <w:rsid w:val="15373CF1"/>
    <w:rsid w:val="15880C4C"/>
    <w:rsid w:val="15AC7766"/>
    <w:rsid w:val="15AE4939"/>
    <w:rsid w:val="15CC719F"/>
    <w:rsid w:val="16361311"/>
    <w:rsid w:val="169B3D10"/>
    <w:rsid w:val="16A101B8"/>
    <w:rsid w:val="16A7036B"/>
    <w:rsid w:val="16AC344E"/>
    <w:rsid w:val="16C07B0A"/>
    <w:rsid w:val="16E56401"/>
    <w:rsid w:val="16ED0899"/>
    <w:rsid w:val="170532D4"/>
    <w:rsid w:val="172604C7"/>
    <w:rsid w:val="1731523F"/>
    <w:rsid w:val="17EA65DF"/>
    <w:rsid w:val="18003D99"/>
    <w:rsid w:val="18287181"/>
    <w:rsid w:val="187947BC"/>
    <w:rsid w:val="18FA065B"/>
    <w:rsid w:val="192D615C"/>
    <w:rsid w:val="19553A9D"/>
    <w:rsid w:val="195F3547"/>
    <w:rsid w:val="19826FA5"/>
    <w:rsid w:val="19877AF0"/>
    <w:rsid w:val="19D40DC3"/>
    <w:rsid w:val="19E71F68"/>
    <w:rsid w:val="19EF62BF"/>
    <w:rsid w:val="1A287223"/>
    <w:rsid w:val="1A484695"/>
    <w:rsid w:val="1B393673"/>
    <w:rsid w:val="1C3243D6"/>
    <w:rsid w:val="1C5F6EAA"/>
    <w:rsid w:val="1C6F4FB4"/>
    <w:rsid w:val="1C733AAB"/>
    <w:rsid w:val="1C746B04"/>
    <w:rsid w:val="1C797D39"/>
    <w:rsid w:val="1CB82BAD"/>
    <w:rsid w:val="1CC45CDD"/>
    <w:rsid w:val="1CCB791D"/>
    <w:rsid w:val="1CD22F7D"/>
    <w:rsid w:val="1D1735EF"/>
    <w:rsid w:val="1D6F55A4"/>
    <w:rsid w:val="1DEE0CA9"/>
    <w:rsid w:val="1DF20628"/>
    <w:rsid w:val="1E2D620F"/>
    <w:rsid w:val="1EBF50DB"/>
    <w:rsid w:val="1ED4425A"/>
    <w:rsid w:val="1EDC7F1C"/>
    <w:rsid w:val="1F011828"/>
    <w:rsid w:val="1F63358C"/>
    <w:rsid w:val="1FA069D4"/>
    <w:rsid w:val="1FFD581B"/>
    <w:rsid w:val="204C132C"/>
    <w:rsid w:val="20644D04"/>
    <w:rsid w:val="20AA09AA"/>
    <w:rsid w:val="20D64653"/>
    <w:rsid w:val="20EE1616"/>
    <w:rsid w:val="21120767"/>
    <w:rsid w:val="212E2504"/>
    <w:rsid w:val="214B0C07"/>
    <w:rsid w:val="214C6CE8"/>
    <w:rsid w:val="216A67F7"/>
    <w:rsid w:val="219963E6"/>
    <w:rsid w:val="21C8315A"/>
    <w:rsid w:val="21D302A6"/>
    <w:rsid w:val="21EE0F80"/>
    <w:rsid w:val="22B332FF"/>
    <w:rsid w:val="22CE35B4"/>
    <w:rsid w:val="23A67B69"/>
    <w:rsid w:val="23CF4666"/>
    <w:rsid w:val="245231DD"/>
    <w:rsid w:val="246B066E"/>
    <w:rsid w:val="24A314E5"/>
    <w:rsid w:val="25315A92"/>
    <w:rsid w:val="25485B4A"/>
    <w:rsid w:val="257411BF"/>
    <w:rsid w:val="25864D84"/>
    <w:rsid w:val="25D668B0"/>
    <w:rsid w:val="260F1BFD"/>
    <w:rsid w:val="26421E20"/>
    <w:rsid w:val="264D746E"/>
    <w:rsid w:val="26875236"/>
    <w:rsid w:val="268B18B9"/>
    <w:rsid w:val="26942845"/>
    <w:rsid w:val="26A5092E"/>
    <w:rsid w:val="26AB55C9"/>
    <w:rsid w:val="26AB5818"/>
    <w:rsid w:val="26D24169"/>
    <w:rsid w:val="272A1CDF"/>
    <w:rsid w:val="2782748C"/>
    <w:rsid w:val="279315B4"/>
    <w:rsid w:val="27977369"/>
    <w:rsid w:val="27AB2C9A"/>
    <w:rsid w:val="28603F2A"/>
    <w:rsid w:val="287B7E23"/>
    <w:rsid w:val="28812A39"/>
    <w:rsid w:val="28943942"/>
    <w:rsid w:val="291C5BFE"/>
    <w:rsid w:val="29382A6B"/>
    <w:rsid w:val="2955110C"/>
    <w:rsid w:val="295A23FC"/>
    <w:rsid w:val="29626662"/>
    <w:rsid w:val="29816E87"/>
    <w:rsid w:val="2A3113C8"/>
    <w:rsid w:val="2A446C83"/>
    <w:rsid w:val="2A5E5B40"/>
    <w:rsid w:val="2A8617FE"/>
    <w:rsid w:val="2AA125FD"/>
    <w:rsid w:val="2AAE46B2"/>
    <w:rsid w:val="2AB9225B"/>
    <w:rsid w:val="2AFC0D34"/>
    <w:rsid w:val="2B12368E"/>
    <w:rsid w:val="2B4464C7"/>
    <w:rsid w:val="2B590203"/>
    <w:rsid w:val="2B5A7ADD"/>
    <w:rsid w:val="2B6B0F7F"/>
    <w:rsid w:val="2B794137"/>
    <w:rsid w:val="2B9B099A"/>
    <w:rsid w:val="2BD851A9"/>
    <w:rsid w:val="2C130D6C"/>
    <w:rsid w:val="2C225C6C"/>
    <w:rsid w:val="2C7831FE"/>
    <w:rsid w:val="2C8F0EA7"/>
    <w:rsid w:val="2CAD66F4"/>
    <w:rsid w:val="2D5609E8"/>
    <w:rsid w:val="2E0E10F4"/>
    <w:rsid w:val="2E1555FA"/>
    <w:rsid w:val="2E335172"/>
    <w:rsid w:val="2E9C1044"/>
    <w:rsid w:val="2EF771DC"/>
    <w:rsid w:val="2F377CAB"/>
    <w:rsid w:val="2F4B37CE"/>
    <w:rsid w:val="2F7215C9"/>
    <w:rsid w:val="2F753598"/>
    <w:rsid w:val="2FB9486F"/>
    <w:rsid w:val="2FCC5E07"/>
    <w:rsid w:val="2FE0542B"/>
    <w:rsid w:val="2FF545D5"/>
    <w:rsid w:val="30247B0A"/>
    <w:rsid w:val="30A11FD0"/>
    <w:rsid w:val="3146027D"/>
    <w:rsid w:val="31492649"/>
    <w:rsid w:val="317D7A4B"/>
    <w:rsid w:val="31941AD5"/>
    <w:rsid w:val="319966F0"/>
    <w:rsid w:val="31B538EB"/>
    <w:rsid w:val="31C60756"/>
    <w:rsid w:val="32863A70"/>
    <w:rsid w:val="328E2276"/>
    <w:rsid w:val="333F5C66"/>
    <w:rsid w:val="33526965"/>
    <w:rsid w:val="33825FA4"/>
    <w:rsid w:val="33DB773D"/>
    <w:rsid w:val="342267F6"/>
    <w:rsid w:val="346A2735"/>
    <w:rsid w:val="34820207"/>
    <w:rsid w:val="349F49A1"/>
    <w:rsid w:val="34AA5361"/>
    <w:rsid w:val="34D7553F"/>
    <w:rsid w:val="34F622B8"/>
    <w:rsid w:val="34FC3E0F"/>
    <w:rsid w:val="3536335A"/>
    <w:rsid w:val="357B6085"/>
    <w:rsid w:val="35A6695C"/>
    <w:rsid w:val="35B439A1"/>
    <w:rsid w:val="35BD78F2"/>
    <w:rsid w:val="3600333F"/>
    <w:rsid w:val="360B0081"/>
    <w:rsid w:val="367C2ED7"/>
    <w:rsid w:val="36C53D8A"/>
    <w:rsid w:val="36DB3EF8"/>
    <w:rsid w:val="36DC78E2"/>
    <w:rsid w:val="370954F8"/>
    <w:rsid w:val="373C7A9C"/>
    <w:rsid w:val="37416EB1"/>
    <w:rsid w:val="37512FB8"/>
    <w:rsid w:val="376914BD"/>
    <w:rsid w:val="377D7D51"/>
    <w:rsid w:val="37C72EB7"/>
    <w:rsid w:val="37CD35DE"/>
    <w:rsid w:val="38232AA8"/>
    <w:rsid w:val="3860608E"/>
    <w:rsid w:val="389D3187"/>
    <w:rsid w:val="38B91C49"/>
    <w:rsid w:val="39150919"/>
    <w:rsid w:val="397D27F8"/>
    <w:rsid w:val="3984451E"/>
    <w:rsid w:val="39E958BC"/>
    <w:rsid w:val="39F84A46"/>
    <w:rsid w:val="3A366C90"/>
    <w:rsid w:val="3A50783A"/>
    <w:rsid w:val="3A611FAB"/>
    <w:rsid w:val="3AD2717E"/>
    <w:rsid w:val="3AE8792A"/>
    <w:rsid w:val="3B4C6B7D"/>
    <w:rsid w:val="3B861D7B"/>
    <w:rsid w:val="3BBC42F8"/>
    <w:rsid w:val="3C580635"/>
    <w:rsid w:val="3C896EB4"/>
    <w:rsid w:val="3CC50F8A"/>
    <w:rsid w:val="3CF26E83"/>
    <w:rsid w:val="3D5817E2"/>
    <w:rsid w:val="3D7E3DFD"/>
    <w:rsid w:val="3DDC1B4E"/>
    <w:rsid w:val="3DE624D4"/>
    <w:rsid w:val="3E684EAD"/>
    <w:rsid w:val="3E6E56EE"/>
    <w:rsid w:val="3E831250"/>
    <w:rsid w:val="3EAF2D25"/>
    <w:rsid w:val="3EBD538E"/>
    <w:rsid w:val="3F221C11"/>
    <w:rsid w:val="3F3F3186"/>
    <w:rsid w:val="3FF57DD8"/>
    <w:rsid w:val="400A4965"/>
    <w:rsid w:val="40291362"/>
    <w:rsid w:val="40B35F3C"/>
    <w:rsid w:val="412534BD"/>
    <w:rsid w:val="41492569"/>
    <w:rsid w:val="41B06152"/>
    <w:rsid w:val="41B22EFC"/>
    <w:rsid w:val="41CF1774"/>
    <w:rsid w:val="41D52631"/>
    <w:rsid w:val="41E166A7"/>
    <w:rsid w:val="421F0E45"/>
    <w:rsid w:val="422634B4"/>
    <w:rsid w:val="42833F2C"/>
    <w:rsid w:val="42A34959"/>
    <w:rsid w:val="42AB29D0"/>
    <w:rsid w:val="42D515E8"/>
    <w:rsid w:val="432568B4"/>
    <w:rsid w:val="432A2B59"/>
    <w:rsid w:val="436617E4"/>
    <w:rsid w:val="43C5363E"/>
    <w:rsid w:val="43F0266D"/>
    <w:rsid w:val="441B5933"/>
    <w:rsid w:val="444B7A53"/>
    <w:rsid w:val="44562207"/>
    <w:rsid w:val="44EF3FD1"/>
    <w:rsid w:val="452D5DB8"/>
    <w:rsid w:val="4534045C"/>
    <w:rsid w:val="45352A25"/>
    <w:rsid w:val="455E66B8"/>
    <w:rsid w:val="458F0387"/>
    <w:rsid w:val="460F3D97"/>
    <w:rsid w:val="46122442"/>
    <w:rsid w:val="46157C7E"/>
    <w:rsid w:val="461F17AF"/>
    <w:rsid w:val="46707362"/>
    <w:rsid w:val="469F3F08"/>
    <w:rsid w:val="46E53E93"/>
    <w:rsid w:val="46E6047B"/>
    <w:rsid w:val="474305F6"/>
    <w:rsid w:val="47525687"/>
    <w:rsid w:val="47A32C15"/>
    <w:rsid w:val="47D33EDA"/>
    <w:rsid w:val="47F55DE4"/>
    <w:rsid w:val="47FC5A7C"/>
    <w:rsid w:val="48010ED3"/>
    <w:rsid w:val="48514DA6"/>
    <w:rsid w:val="48832C0D"/>
    <w:rsid w:val="48CA33FC"/>
    <w:rsid w:val="48E842FF"/>
    <w:rsid w:val="48F31859"/>
    <w:rsid w:val="49061620"/>
    <w:rsid w:val="49262EB2"/>
    <w:rsid w:val="49316623"/>
    <w:rsid w:val="494372C0"/>
    <w:rsid w:val="495532BE"/>
    <w:rsid w:val="4A091CE5"/>
    <w:rsid w:val="4A092D95"/>
    <w:rsid w:val="4A99106D"/>
    <w:rsid w:val="4AA956FA"/>
    <w:rsid w:val="4AC839B1"/>
    <w:rsid w:val="4B8A23E0"/>
    <w:rsid w:val="4BCE2162"/>
    <w:rsid w:val="4BE909E0"/>
    <w:rsid w:val="4BEF1B80"/>
    <w:rsid w:val="4BF7143F"/>
    <w:rsid w:val="4BFF39E8"/>
    <w:rsid w:val="4C290139"/>
    <w:rsid w:val="4C4C1669"/>
    <w:rsid w:val="4C7F6D10"/>
    <w:rsid w:val="4C83676C"/>
    <w:rsid w:val="4CC2524A"/>
    <w:rsid w:val="4CFE5DCC"/>
    <w:rsid w:val="4D293DEA"/>
    <w:rsid w:val="4DD83BCC"/>
    <w:rsid w:val="4DDE1EAC"/>
    <w:rsid w:val="4DFF1E22"/>
    <w:rsid w:val="4E0F3127"/>
    <w:rsid w:val="4E5D3917"/>
    <w:rsid w:val="4F1C3489"/>
    <w:rsid w:val="4F5C41F1"/>
    <w:rsid w:val="4F9F02E7"/>
    <w:rsid w:val="50195C4C"/>
    <w:rsid w:val="50D12CB7"/>
    <w:rsid w:val="51326756"/>
    <w:rsid w:val="518976D2"/>
    <w:rsid w:val="522E5111"/>
    <w:rsid w:val="525608BB"/>
    <w:rsid w:val="526E4380"/>
    <w:rsid w:val="52935EE2"/>
    <w:rsid w:val="52A674AC"/>
    <w:rsid w:val="52B5636A"/>
    <w:rsid w:val="52C84ED8"/>
    <w:rsid w:val="53072D70"/>
    <w:rsid w:val="53552806"/>
    <w:rsid w:val="53594140"/>
    <w:rsid w:val="53E162A0"/>
    <w:rsid w:val="53F01D34"/>
    <w:rsid w:val="54166BC3"/>
    <w:rsid w:val="541A3E14"/>
    <w:rsid w:val="54624520"/>
    <w:rsid w:val="546D3EBE"/>
    <w:rsid w:val="547E7F44"/>
    <w:rsid w:val="54955781"/>
    <w:rsid w:val="54A203AA"/>
    <w:rsid w:val="54B61F5D"/>
    <w:rsid w:val="551F5FB4"/>
    <w:rsid w:val="55476532"/>
    <w:rsid w:val="55AA1478"/>
    <w:rsid w:val="55BC361A"/>
    <w:rsid w:val="55CC2F32"/>
    <w:rsid w:val="55D15107"/>
    <w:rsid w:val="56497D05"/>
    <w:rsid w:val="5651762B"/>
    <w:rsid w:val="568630E0"/>
    <w:rsid w:val="57051E07"/>
    <w:rsid w:val="57065AF4"/>
    <w:rsid w:val="570A56DD"/>
    <w:rsid w:val="57730905"/>
    <w:rsid w:val="57783371"/>
    <w:rsid w:val="57C70B78"/>
    <w:rsid w:val="58457272"/>
    <w:rsid w:val="58900246"/>
    <w:rsid w:val="58A14A23"/>
    <w:rsid w:val="58A609DF"/>
    <w:rsid w:val="58CB7923"/>
    <w:rsid w:val="58FF660A"/>
    <w:rsid w:val="594352B9"/>
    <w:rsid w:val="599810F5"/>
    <w:rsid w:val="59A1101C"/>
    <w:rsid w:val="59AF248B"/>
    <w:rsid w:val="59F111B9"/>
    <w:rsid w:val="59F94937"/>
    <w:rsid w:val="5A1455BF"/>
    <w:rsid w:val="5A15432B"/>
    <w:rsid w:val="5A1D1EFC"/>
    <w:rsid w:val="5ABB7C79"/>
    <w:rsid w:val="5AC95DC1"/>
    <w:rsid w:val="5AD26541"/>
    <w:rsid w:val="5ADA6DD0"/>
    <w:rsid w:val="5ADE3149"/>
    <w:rsid w:val="5AEF067F"/>
    <w:rsid w:val="5B5612F3"/>
    <w:rsid w:val="5B921FB4"/>
    <w:rsid w:val="5B9444F1"/>
    <w:rsid w:val="5BC052E6"/>
    <w:rsid w:val="5BF85296"/>
    <w:rsid w:val="5C024D2D"/>
    <w:rsid w:val="5C2E04A2"/>
    <w:rsid w:val="5C4972A2"/>
    <w:rsid w:val="5C8639DD"/>
    <w:rsid w:val="5CD458C9"/>
    <w:rsid w:val="5CD901EE"/>
    <w:rsid w:val="5CDA5992"/>
    <w:rsid w:val="5CF05F2A"/>
    <w:rsid w:val="5D054DA9"/>
    <w:rsid w:val="5D2D6E3D"/>
    <w:rsid w:val="5D740137"/>
    <w:rsid w:val="5D8F1BE6"/>
    <w:rsid w:val="5D9E5F8F"/>
    <w:rsid w:val="5DA724B1"/>
    <w:rsid w:val="5DAA5AF3"/>
    <w:rsid w:val="5DE04457"/>
    <w:rsid w:val="5F7D08E4"/>
    <w:rsid w:val="5F940A82"/>
    <w:rsid w:val="5FAB005C"/>
    <w:rsid w:val="5FE07B70"/>
    <w:rsid w:val="603879BD"/>
    <w:rsid w:val="604F05EC"/>
    <w:rsid w:val="606B6E69"/>
    <w:rsid w:val="607034DD"/>
    <w:rsid w:val="60912DAE"/>
    <w:rsid w:val="60944A0B"/>
    <w:rsid w:val="60AC578B"/>
    <w:rsid w:val="60D41974"/>
    <w:rsid w:val="612D083D"/>
    <w:rsid w:val="6154366A"/>
    <w:rsid w:val="617200A8"/>
    <w:rsid w:val="61B85B0B"/>
    <w:rsid w:val="61CD059E"/>
    <w:rsid w:val="61EB0605"/>
    <w:rsid w:val="627C0528"/>
    <w:rsid w:val="631B421F"/>
    <w:rsid w:val="6320666B"/>
    <w:rsid w:val="633E7ADE"/>
    <w:rsid w:val="63433366"/>
    <w:rsid w:val="63460DBC"/>
    <w:rsid w:val="63891D25"/>
    <w:rsid w:val="63A54A3C"/>
    <w:rsid w:val="63A66D11"/>
    <w:rsid w:val="63A92490"/>
    <w:rsid w:val="63AE49E0"/>
    <w:rsid w:val="63D63827"/>
    <w:rsid w:val="63F10251"/>
    <w:rsid w:val="641674F2"/>
    <w:rsid w:val="643B2761"/>
    <w:rsid w:val="645F2D27"/>
    <w:rsid w:val="64C51278"/>
    <w:rsid w:val="64CA5FFF"/>
    <w:rsid w:val="64FD5E67"/>
    <w:rsid w:val="65546448"/>
    <w:rsid w:val="65711670"/>
    <w:rsid w:val="65AE7E08"/>
    <w:rsid w:val="65C63372"/>
    <w:rsid w:val="662C60B7"/>
    <w:rsid w:val="66613222"/>
    <w:rsid w:val="667752EC"/>
    <w:rsid w:val="668C29E2"/>
    <w:rsid w:val="668F6486"/>
    <w:rsid w:val="670575BF"/>
    <w:rsid w:val="672A7AB8"/>
    <w:rsid w:val="67613B55"/>
    <w:rsid w:val="67F23C6D"/>
    <w:rsid w:val="68D61B92"/>
    <w:rsid w:val="68E33569"/>
    <w:rsid w:val="68F23A37"/>
    <w:rsid w:val="694F3806"/>
    <w:rsid w:val="696577CD"/>
    <w:rsid w:val="696772FB"/>
    <w:rsid w:val="69E4001D"/>
    <w:rsid w:val="69E9497D"/>
    <w:rsid w:val="69EA65BD"/>
    <w:rsid w:val="6A095614"/>
    <w:rsid w:val="6A266C5C"/>
    <w:rsid w:val="6A2B4C32"/>
    <w:rsid w:val="6AEA3DA1"/>
    <w:rsid w:val="6AF07B7F"/>
    <w:rsid w:val="6B2F1B41"/>
    <w:rsid w:val="6B427B77"/>
    <w:rsid w:val="6B4E2D3E"/>
    <w:rsid w:val="6B965DA4"/>
    <w:rsid w:val="6BD96A17"/>
    <w:rsid w:val="6C091100"/>
    <w:rsid w:val="6C1668B8"/>
    <w:rsid w:val="6C530C66"/>
    <w:rsid w:val="6C8C3392"/>
    <w:rsid w:val="6D802D05"/>
    <w:rsid w:val="6D967C55"/>
    <w:rsid w:val="6E550CC4"/>
    <w:rsid w:val="6E943BB5"/>
    <w:rsid w:val="6EBC13EB"/>
    <w:rsid w:val="6EBE3907"/>
    <w:rsid w:val="6EC71ECE"/>
    <w:rsid w:val="6F6F4C26"/>
    <w:rsid w:val="6FE557FA"/>
    <w:rsid w:val="6FEF16BE"/>
    <w:rsid w:val="701A243F"/>
    <w:rsid w:val="706B00BB"/>
    <w:rsid w:val="707C5221"/>
    <w:rsid w:val="70B43760"/>
    <w:rsid w:val="70DE0D35"/>
    <w:rsid w:val="70DF14BB"/>
    <w:rsid w:val="70EB475C"/>
    <w:rsid w:val="70F01005"/>
    <w:rsid w:val="71397DCB"/>
    <w:rsid w:val="71687CAF"/>
    <w:rsid w:val="71AF12E6"/>
    <w:rsid w:val="721F363F"/>
    <w:rsid w:val="72206A27"/>
    <w:rsid w:val="725D04A6"/>
    <w:rsid w:val="727A15DA"/>
    <w:rsid w:val="72914E8F"/>
    <w:rsid w:val="72B01989"/>
    <w:rsid w:val="72CA1615"/>
    <w:rsid w:val="72DA63FB"/>
    <w:rsid w:val="730C7D63"/>
    <w:rsid w:val="73372296"/>
    <w:rsid w:val="73584999"/>
    <w:rsid w:val="738A4F1A"/>
    <w:rsid w:val="73FA7A34"/>
    <w:rsid w:val="741C0922"/>
    <w:rsid w:val="7449069D"/>
    <w:rsid w:val="74573835"/>
    <w:rsid w:val="75056005"/>
    <w:rsid w:val="75564CDF"/>
    <w:rsid w:val="758B5B61"/>
    <w:rsid w:val="75AE44DB"/>
    <w:rsid w:val="75B01850"/>
    <w:rsid w:val="75B46B29"/>
    <w:rsid w:val="75E7504D"/>
    <w:rsid w:val="75EF53B2"/>
    <w:rsid w:val="76037EB7"/>
    <w:rsid w:val="760B7E8B"/>
    <w:rsid w:val="76B10E65"/>
    <w:rsid w:val="76D01A14"/>
    <w:rsid w:val="76E653E4"/>
    <w:rsid w:val="77730B47"/>
    <w:rsid w:val="77A3153F"/>
    <w:rsid w:val="77B238DE"/>
    <w:rsid w:val="77E17612"/>
    <w:rsid w:val="77F85EB7"/>
    <w:rsid w:val="786372CE"/>
    <w:rsid w:val="78697573"/>
    <w:rsid w:val="78816D96"/>
    <w:rsid w:val="78D003F8"/>
    <w:rsid w:val="78FE746A"/>
    <w:rsid w:val="792620AF"/>
    <w:rsid w:val="79522E9F"/>
    <w:rsid w:val="79BF4A66"/>
    <w:rsid w:val="79C0601E"/>
    <w:rsid w:val="79E314FB"/>
    <w:rsid w:val="79E96674"/>
    <w:rsid w:val="79EA6FF3"/>
    <w:rsid w:val="79FF6F80"/>
    <w:rsid w:val="7A104A82"/>
    <w:rsid w:val="7A350790"/>
    <w:rsid w:val="7A8D2380"/>
    <w:rsid w:val="7AC23E20"/>
    <w:rsid w:val="7AE456E6"/>
    <w:rsid w:val="7AF01274"/>
    <w:rsid w:val="7C015992"/>
    <w:rsid w:val="7C4A563C"/>
    <w:rsid w:val="7C6069FB"/>
    <w:rsid w:val="7CE92D02"/>
    <w:rsid w:val="7D43447E"/>
    <w:rsid w:val="7D893333"/>
    <w:rsid w:val="7DA261A2"/>
    <w:rsid w:val="7DB36601"/>
    <w:rsid w:val="7DEC3229"/>
    <w:rsid w:val="7DF7BF15"/>
    <w:rsid w:val="7E0278BC"/>
    <w:rsid w:val="7E144D2B"/>
    <w:rsid w:val="7E400A43"/>
    <w:rsid w:val="7E4159BB"/>
    <w:rsid w:val="7E6873EC"/>
    <w:rsid w:val="7ECB7D29"/>
    <w:rsid w:val="7ED70E56"/>
    <w:rsid w:val="7F202C72"/>
    <w:rsid w:val="7FA53D28"/>
    <w:rsid w:val="7FAF54D3"/>
    <w:rsid w:val="7FB37EA5"/>
    <w:rsid w:val="7FEA5BDF"/>
    <w:rsid w:val="ACFF7DD2"/>
    <w:rsid w:val="BCFB2A44"/>
    <w:rsid w:val="BE7FC4C0"/>
    <w:rsid w:val="E77FA241"/>
    <w:rsid w:val="FD8BB2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0"/>
    <w:pPr>
      <w:keepNext/>
      <w:keepLines/>
      <w:spacing w:before="240" w:after="64" w:line="320" w:lineRule="auto"/>
      <w:outlineLvl w:val="6"/>
    </w:pPr>
    <w:rPr>
      <w:b/>
      <w:bCs/>
      <w:szCs w:val="24"/>
    </w:rPr>
  </w:style>
  <w:style w:type="paragraph" w:styleId="9">
    <w:name w:val="heading 8"/>
    <w:basedOn w:val="1"/>
    <w:next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next w:val="1"/>
    <w:unhideWhenUsed/>
    <w:qFormat/>
    <w:uiPriority w:val="39"/>
    <w:pPr>
      <w:ind w:left="960"/>
      <w:jc w:val="left"/>
    </w:pPr>
    <w:rPr>
      <w:sz w:val="18"/>
      <w:szCs w:val="18"/>
    </w:rPr>
  </w:style>
  <w:style w:type="paragraph" w:styleId="22">
    <w:name w:val="toc 3"/>
    <w:basedOn w:val="1"/>
    <w:next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next w:val="1"/>
    <w:unhideWhenUsed/>
    <w:qFormat/>
    <w:uiPriority w:val="39"/>
    <w:pPr>
      <w:ind w:left="1680"/>
      <w:jc w:val="left"/>
    </w:pPr>
    <w:rPr>
      <w:sz w:val="18"/>
      <w:szCs w:val="18"/>
    </w:rPr>
  </w:style>
  <w:style w:type="paragraph" w:styleId="25">
    <w:name w:val="Date"/>
    <w:basedOn w:val="1"/>
    <w:next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next w:val="1"/>
    <w:unhideWhenUsed/>
    <w:qFormat/>
    <w:uiPriority w:val="39"/>
    <w:pPr>
      <w:spacing w:before="120"/>
      <w:jc w:val="left"/>
    </w:pPr>
    <w:rPr>
      <w:b/>
      <w:caps/>
      <w:sz w:val="22"/>
    </w:rPr>
  </w:style>
  <w:style w:type="paragraph" w:styleId="31">
    <w:name w:val="toc 4"/>
    <w:basedOn w:val="1"/>
    <w:next w:val="1"/>
    <w:unhideWhenUsed/>
    <w:qFormat/>
    <w:uiPriority w:val="39"/>
    <w:pPr>
      <w:ind w:left="720"/>
      <w:jc w:val="left"/>
    </w:pPr>
    <w:rPr>
      <w:sz w:val="18"/>
      <w:szCs w:val="18"/>
    </w:rPr>
  </w:style>
  <w:style w:type="paragraph" w:styleId="32">
    <w:name w:val="toc 6"/>
    <w:basedOn w:val="1"/>
    <w:next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next w:val="1"/>
    <w:unhideWhenUsed/>
    <w:qFormat/>
    <w:uiPriority w:val="39"/>
    <w:pPr>
      <w:ind w:left="240"/>
      <w:jc w:val="left"/>
    </w:pPr>
    <w:rPr>
      <w:sz w:val="22"/>
    </w:rPr>
  </w:style>
  <w:style w:type="paragraph" w:styleId="36">
    <w:name w:val="toc 9"/>
    <w:basedOn w:val="1"/>
    <w:next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rFonts w:eastAsia="宋体" w:asciiTheme="minorHAnsi" w:hAnsiTheme="minorHAnsi" w:cstheme="minorBidi"/>
      <w:color w:val="0000FF" w:themeColor="hyperlink"/>
      <w:kern w:val="2"/>
      <w:sz w:val="24"/>
      <w:szCs w:val="22"/>
      <w:u w:val="single"/>
      <w:lang w:val="en-US" w:eastAsia="zh-CN" w:bidi="ar-SA"/>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0"/>
      </w:numPr>
      <w:tabs>
        <w:tab w:val="left" w:pos="961"/>
        <w:tab w:val="left" w:pos="1861"/>
      </w:tabs>
      <w:ind w:left="961" w:hanging="360"/>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0"/>
      </w:numPr>
      <w:tabs>
        <w:tab w:val="left" w:pos="961"/>
        <w:tab w:val="left" w:pos="1441"/>
      </w:tabs>
      <w:ind w:left="961" w:hanging="360"/>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 w:type="paragraph" w:customStyle="1" w:styleId="209">
    <w:name w:val="Revision"/>
    <w:hidden/>
    <w:unhideWhenUsed/>
    <w:uiPriority w:val="99"/>
    <w:rPr>
      <w:rFonts w:eastAsia="宋体"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5345</Words>
  <Characters>5808</Characters>
  <Lines>128</Lines>
  <Paragraphs>36</Paragraphs>
  <TotalTime>8</TotalTime>
  <ScaleCrop>false</ScaleCrop>
  <LinksUpToDate>false</LinksUpToDate>
  <CharactersWithSpaces>5893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2026-07-08T07:21:00Z</dcterms:created>
  <dc:creator>微软用户</dc:creator>
  <cp:lastModifiedBy>Smile</cp:lastModifiedBy>
  <cp:lastPrinted>2025-10-21T17:08:00Z</cp:lastPrinted>
  <dcterms:modified xsi:type="dcterms:W3CDTF">2026-07-09T06:46:07Z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