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73CED">
      <w:pPr>
        <w:spacing w:line="240" w:lineRule="auto"/>
        <w:ind w:firstLine="0" w:firstLineChars="0"/>
        <w:rPr>
          <w:rFonts w:ascii="方正黑体_GBK" w:hAnsi="Times New Roman" w:eastAsia="方正黑体_GBK" w:cs="宋体"/>
          <w:bCs/>
          <w:color w:val="000000" w:themeColor="text1"/>
          <w:kern w:val="0"/>
          <w:sz w:val="32"/>
          <w:szCs w:val="44"/>
          <w14:textFill>
            <w14:solidFill>
              <w14:schemeClr w14:val="tx1"/>
            </w14:solidFill>
          </w14:textFill>
        </w:rPr>
      </w:pPr>
      <w:r>
        <w:rPr>
          <w:rFonts w:ascii="黑体" w:hAnsi="Times New Roman" w:eastAsia="黑体" w:cs="宋体"/>
          <w:b/>
          <w:bCs/>
          <w:color w:val="000000" w:themeColor="text1"/>
          <w:kern w:val="0"/>
          <w:sz w:val="44"/>
          <w:szCs w:val="44"/>
          <w14:textFill>
            <w14:solidFill>
              <w14:schemeClr w14:val="tx1"/>
            </w14:solidFill>
          </w14:textFill>
        </w:rPr>
        <w:tab/>
      </w:r>
      <w:r>
        <w:rPr>
          <w:rFonts w:hint="eastAsia" w:ascii="方正黑体_GBK" w:hAnsi="Times New Roman" w:eastAsia="方正黑体_GBK" w:cs="宋体"/>
          <w:bCs/>
          <w:color w:val="000000" w:themeColor="text1"/>
          <w:kern w:val="0"/>
          <w:sz w:val="32"/>
          <w:szCs w:val="44"/>
          <w14:textFill>
            <w14:solidFill>
              <w14:schemeClr w14:val="tx1"/>
            </w14:solidFill>
          </w14:textFill>
        </w:rPr>
        <w:t>附件1</w:t>
      </w:r>
    </w:p>
    <w:p w14:paraId="6EC90F09">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3252BC4A">
      <w:pPr>
        <w:spacing w:line="240" w:lineRule="auto"/>
        <w:ind w:firstLine="0" w:firstLineChars="0"/>
        <w:jc w:val="center"/>
        <w:rPr>
          <w:rFonts w:ascii="华文中宋" w:hAnsi="Times New Roman" w:eastAsia="华文中宋" w:cs="宋体"/>
          <w:b/>
          <w:bCs/>
          <w:color w:val="000000" w:themeColor="text1"/>
          <w:kern w:val="0"/>
          <w:sz w:val="52"/>
          <w:szCs w:val="52"/>
          <w14:textFill>
            <w14:solidFill>
              <w14:schemeClr w14:val="tx1"/>
            </w14:solidFill>
          </w14:textFill>
        </w:rPr>
      </w:pPr>
    </w:p>
    <w:p w14:paraId="2B0E2BA4">
      <w:pPr>
        <w:spacing w:line="240" w:lineRule="auto"/>
        <w:ind w:firstLine="0" w:firstLineChars="0"/>
        <w:jc w:val="center"/>
        <w:rPr>
          <w:rFonts w:ascii="华文中宋" w:hAnsi="Times New Roman" w:eastAsia="华文中宋" w:cs="宋体"/>
          <w:b/>
          <w:bCs/>
          <w:color w:val="000000" w:themeColor="text1"/>
          <w:kern w:val="0"/>
          <w:sz w:val="52"/>
          <w:szCs w:val="52"/>
          <w14:textFill>
            <w14:solidFill>
              <w14:schemeClr w14:val="tx1"/>
            </w14:solidFill>
          </w14:textFill>
        </w:rPr>
      </w:pPr>
    </w:p>
    <w:p w14:paraId="59ACF45D">
      <w:pPr>
        <w:spacing w:line="600" w:lineRule="exact"/>
        <w:ind w:firstLine="0" w:firstLineChars="0"/>
        <w:jc w:val="center"/>
        <w:rPr>
          <w:rFonts w:ascii="方正小标宋_GBK" w:hAnsi="Times New Roman" w:eastAsia="方正小标宋_GBK" w:cs="宋体"/>
          <w:b/>
          <w:bCs/>
          <w:color w:val="000000" w:themeColor="text1"/>
          <w:kern w:val="0"/>
          <w:sz w:val="44"/>
          <w:szCs w:val="52"/>
          <w14:textFill>
            <w14:solidFill>
              <w14:schemeClr w14:val="tx1"/>
            </w14:solidFill>
          </w14:textFill>
        </w:rPr>
      </w:pPr>
      <w:r>
        <w:rPr>
          <w:rFonts w:hint="eastAsia" w:ascii="方正小标宋_GBK" w:hAnsi="Times New Roman" w:eastAsia="方正小标宋_GBK" w:cs="宋体"/>
          <w:b/>
          <w:bCs/>
          <w:color w:val="000000" w:themeColor="text1"/>
          <w:kern w:val="0"/>
          <w:sz w:val="44"/>
          <w:szCs w:val="52"/>
          <w14:textFill>
            <w14:solidFill>
              <w14:schemeClr w14:val="tx1"/>
            </w14:solidFill>
          </w14:textFill>
        </w:rPr>
        <w:t>2026年度重庆市教委人文社会科学研究</w:t>
      </w:r>
    </w:p>
    <w:p w14:paraId="5B27800E">
      <w:pPr>
        <w:spacing w:line="600" w:lineRule="exact"/>
        <w:ind w:firstLine="0" w:firstLineChars="0"/>
        <w:jc w:val="center"/>
        <w:rPr>
          <w:rFonts w:ascii="方正小标宋_GBK" w:hAnsi="Times New Roman" w:eastAsia="方正小标宋_GBK" w:cs="宋体"/>
          <w:b/>
          <w:bCs/>
          <w:color w:val="000000" w:themeColor="text1"/>
          <w:kern w:val="0"/>
          <w:sz w:val="44"/>
          <w:szCs w:val="52"/>
          <w14:textFill>
            <w14:solidFill>
              <w14:schemeClr w14:val="tx1"/>
            </w14:solidFill>
          </w14:textFill>
        </w:rPr>
      </w:pPr>
      <w:r>
        <w:rPr>
          <w:rFonts w:hint="eastAsia" w:ascii="方正小标宋_GBK" w:hAnsi="Times New Roman" w:eastAsia="方正小标宋_GBK" w:cs="宋体"/>
          <w:b/>
          <w:bCs/>
          <w:color w:val="000000" w:themeColor="text1"/>
          <w:kern w:val="0"/>
          <w:sz w:val="44"/>
          <w:szCs w:val="52"/>
          <w14:textFill>
            <w14:solidFill>
              <w14:schemeClr w14:val="tx1"/>
            </w14:solidFill>
          </w14:textFill>
        </w:rPr>
        <w:t>项目指南</w:t>
      </w:r>
    </w:p>
    <w:p w14:paraId="156884FC">
      <w:pPr>
        <w:spacing w:line="240" w:lineRule="auto"/>
        <w:ind w:firstLine="0" w:firstLineChars="0"/>
        <w:jc w:val="center"/>
        <w:rPr>
          <w:rFonts w:ascii="华文中宋" w:hAnsi="Times New Roman" w:eastAsia="华文中宋" w:cs="宋体"/>
          <w:b/>
          <w:bCs/>
          <w:color w:val="000000" w:themeColor="text1"/>
          <w:kern w:val="0"/>
          <w:sz w:val="36"/>
          <w:szCs w:val="36"/>
          <w14:textFill>
            <w14:solidFill>
              <w14:schemeClr w14:val="tx1"/>
            </w14:solidFill>
          </w14:textFill>
        </w:rPr>
      </w:pPr>
    </w:p>
    <w:p w14:paraId="65C2809A">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71CC719A">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4B2F2318">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6A623D30">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55D242BD">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7E572080">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6F86D884">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232D3046">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17A1ABB3">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3044A355">
      <w:pPr>
        <w:spacing w:line="240" w:lineRule="auto"/>
        <w:ind w:firstLine="0" w:firstLineChars="0"/>
        <w:jc w:val="center"/>
        <w:rPr>
          <w:rFonts w:ascii="楷体_GB2312" w:hAnsi="Times New Roman" w:eastAsia="楷体_GB2312" w:cs="宋体"/>
          <w:b/>
          <w:bCs/>
          <w:color w:val="000000" w:themeColor="text1"/>
          <w:kern w:val="0"/>
          <w:sz w:val="36"/>
          <w:szCs w:val="36"/>
          <w14:textFill>
            <w14:solidFill>
              <w14:schemeClr w14:val="tx1"/>
            </w14:solidFill>
          </w14:textFill>
        </w:rPr>
      </w:pPr>
    </w:p>
    <w:p w14:paraId="543ABB49">
      <w:pPr>
        <w:spacing w:line="240" w:lineRule="auto"/>
        <w:ind w:firstLine="0" w:firstLineChars="0"/>
        <w:jc w:val="center"/>
        <w:rPr>
          <w:rFonts w:ascii="方正楷体_GBK" w:hAnsi="Times New Roman" w:eastAsia="方正楷体_GBK" w:cs="宋体"/>
          <w:bCs/>
          <w:color w:val="000000" w:themeColor="text1"/>
          <w:kern w:val="0"/>
          <w:sz w:val="36"/>
          <w:szCs w:val="36"/>
          <w14:textFill>
            <w14:solidFill>
              <w14:schemeClr w14:val="tx1"/>
            </w14:solidFill>
          </w14:textFill>
        </w:rPr>
      </w:pPr>
      <w:r>
        <w:rPr>
          <w:rFonts w:hint="eastAsia" w:ascii="方正楷体_GBK" w:hAnsi="Times New Roman" w:eastAsia="方正楷体_GBK" w:cs="宋体"/>
          <w:bCs/>
          <w:color w:val="000000" w:themeColor="text1"/>
          <w:kern w:val="0"/>
          <w:sz w:val="36"/>
          <w:szCs w:val="36"/>
          <w14:textFill>
            <w14:solidFill>
              <w14:schemeClr w14:val="tx1"/>
            </w14:solidFill>
          </w14:textFill>
        </w:rPr>
        <w:t>2025年12月</w:t>
      </w:r>
    </w:p>
    <w:p w14:paraId="6C2FBD54">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33EE086A">
      <w:pPr>
        <w:tabs>
          <w:tab w:val="left" w:pos="2530"/>
          <w:tab w:val="center" w:pos="4156"/>
        </w:tabs>
        <w:spacing w:line="240" w:lineRule="auto"/>
        <w:ind w:firstLine="0" w:firstLineChars="0"/>
        <w:jc w:val="left"/>
        <w:rPr>
          <w:rFonts w:ascii="黑体" w:hAnsi="Times New Roman" w:eastAsia="黑体" w:cs="宋体"/>
          <w:b/>
          <w:bCs/>
          <w:color w:val="000000" w:themeColor="text1"/>
          <w:kern w:val="0"/>
          <w:sz w:val="44"/>
          <w:szCs w:val="44"/>
          <w14:textFill>
            <w14:solidFill>
              <w14:schemeClr w14:val="tx1"/>
            </w14:solidFill>
          </w14:textFill>
        </w:rPr>
      </w:pPr>
      <w:r>
        <w:rPr>
          <w:rFonts w:ascii="黑体" w:hAnsi="Times New Roman" w:eastAsia="黑体" w:cs="宋体"/>
          <w:b/>
          <w:bCs/>
          <w:color w:val="000000" w:themeColor="text1"/>
          <w:kern w:val="0"/>
          <w:sz w:val="44"/>
          <w:szCs w:val="44"/>
          <w14:textFill>
            <w14:solidFill>
              <w14:schemeClr w14:val="tx1"/>
            </w14:solidFill>
          </w14:textFill>
        </w:rPr>
        <w:tab/>
      </w:r>
    </w:p>
    <w:p w14:paraId="521BAFE4">
      <w:pPr>
        <w:ind w:firstLine="880"/>
        <w:rPr>
          <w:rFonts w:ascii="黑体" w:hAnsi="Times New Roman" w:eastAsia="黑体" w:cs="宋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361" w:right="1797" w:bottom="1361" w:left="1797" w:header="851" w:footer="992" w:gutter="0"/>
          <w:pgNumType w:start="1"/>
          <w:cols w:space="720" w:num="1"/>
          <w:docGrid w:type="lines" w:linePitch="312" w:charSpace="0"/>
        </w:sectPr>
      </w:pPr>
    </w:p>
    <w:p w14:paraId="0B37A190">
      <w:pPr>
        <w:widowControl w:val="0"/>
        <w:autoSpaceDN w:val="0"/>
        <w:spacing w:line="600" w:lineRule="exact"/>
        <w:ind w:firstLine="0" w:firstLineChars="0"/>
        <w:jc w:val="center"/>
        <w:textAlignment w:val="center"/>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说  明</w:t>
      </w:r>
    </w:p>
    <w:p w14:paraId="703DBBB8">
      <w:pPr>
        <w:widowControl w:val="0"/>
        <w:autoSpaceDN w:val="0"/>
        <w:spacing w:line="600" w:lineRule="exact"/>
        <w:ind w:firstLine="640"/>
        <w:textAlignment w:val="center"/>
        <w:rPr>
          <w:rFonts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1.根据国家质量技术监督局2009年公布的《学科分类与代码》和高校的实际情况，本次项目申报的学科范围包括：马克思主义理论/思想政治教育、哲学、政治学、国际问题研究、语言学、中国文学、外国文学、艺术学、历史学、考古学、经济学、统计学、管理学、法学、社会学、人口学、民族学、新闻与传播学、图书情报文献学、教育学/心理学、体育学。</w:t>
      </w:r>
    </w:p>
    <w:p w14:paraId="0B577AB5">
      <w:pPr>
        <w:widowControl w:val="0"/>
        <w:autoSpaceDN w:val="0"/>
        <w:spacing w:line="600" w:lineRule="exact"/>
        <w:ind w:firstLine="640"/>
        <w:textAlignment w:val="center"/>
        <w:rPr>
          <w:rFonts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2.本“选题指南”主要是方向性条目，申请人可选择不同学科的研究角度和侧重点设计具体题目申报。分为重大、重点和一般项目，其中，重大项目的条目单列，重点项目须是从带“*”号的条目中进行选择。其他未列出选题的学科，可依据研究的主要内容，按照“相近”原则，确定学科归属。</w:t>
      </w:r>
    </w:p>
    <w:p w14:paraId="360B24C8">
      <w:pPr>
        <w:widowControl w:val="0"/>
        <w:autoSpaceDN w:val="0"/>
        <w:spacing w:line="600" w:lineRule="exact"/>
        <w:ind w:firstLine="640"/>
        <w:textAlignment w:val="center"/>
        <w:rPr>
          <w:rFonts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3.申请人可根据自身学术积累，围绕学习贯彻党的二十届四中全会精神和习近平总书记视察重庆重要讲话重要指示精神，聚焦国家重大战略和重庆经济社会发展需求，自主选题进行申报。</w:t>
      </w:r>
    </w:p>
    <w:p w14:paraId="648EDAE1">
      <w:pPr>
        <w:widowControl w:val="0"/>
        <w:autoSpaceDN w:val="0"/>
        <w:spacing w:line="600" w:lineRule="exact"/>
        <w:ind w:firstLine="640"/>
        <w:textAlignment w:val="center"/>
        <w:rPr>
          <w:rFonts w:ascii="方正仿宋_GBK" w:hAnsi="Times New Roman" w:eastAsia="方正仿宋_GBK" w:cs="宋体"/>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4.申报题目的表述应科学、严谨、规范、简明，一般不加副标题。</w:t>
      </w:r>
    </w:p>
    <w:p w14:paraId="576FDBDA">
      <w:pPr>
        <w:pStyle w:val="2"/>
        <w:spacing w:before="0" w:after="0" w:line="600" w:lineRule="exact"/>
        <w:ind w:firstLine="0" w:firstLineChars="0"/>
        <w:jc w:val="center"/>
        <w:rPr>
          <w:rFonts w:ascii="黑体" w:hAnsi="黑体" w:eastAsia="黑体" w:cs="宋体"/>
          <w:color w:val="000000" w:themeColor="text1"/>
          <w:kern w:val="0"/>
          <w:sz w:val="32"/>
          <w:szCs w:val="32"/>
          <w14:textFill>
            <w14:solidFill>
              <w14:schemeClr w14:val="tx1"/>
            </w14:solidFill>
          </w14:textFill>
        </w:rPr>
        <w:sectPr>
          <w:headerReference r:id="rId13" w:type="first"/>
          <w:footerReference r:id="rId16" w:type="first"/>
          <w:headerReference r:id="rId11" w:type="default"/>
          <w:footerReference r:id="rId14" w:type="default"/>
          <w:headerReference r:id="rId12" w:type="even"/>
          <w:footerReference r:id="rId15" w:type="even"/>
          <w:pgSz w:w="11906" w:h="16838"/>
          <w:pgMar w:top="1985" w:right="1446" w:bottom="1644" w:left="1446" w:header="851" w:footer="992" w:gutter="0"/>
          <w:cols w:space="425" w:num="1"/>
          <w:docGrid w:type="lines" w:linePitch="312" w:charSpace="0"/>
        </w:sectPr>
      </w:pPr>
    </w:p>
    <w:p w14:paraId="79522C88">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重大项目</w:t>
      </w:r>
    </w:p>
    <w:p w14:paraId="608364A6">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1.习近平新时代中国特色社会主义思想循迹溯源研究</w:t>
      </w:r>
    </w:p>
    <w:p w14:paraId="2BB92F43">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2.习近平经济思想的世界观和方法论研究</w:t>
      </w:r>
    </w:p>
    <w:p w14:paraId="7A56F9F3">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3.习近平总书记关于党的建设重要思想的体系化学理化研究</w:t>
      </w:r>
    </w:p>
    <w:p w14:paraId="75BFCC98">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4.习近平文化思想的文学阐释体系构建研究</w:t>
      </w:r>
    </w:p>
    <w:p w14:paraId="5A18E405">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5.习近平文化思想与新时代艺术研究</w:t>
      </w:r>
    </w:p>
    <w:p w14:paraId="07F076F3">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6.马克思主义中国化时代化历史进程和基本规律研究</w:t>
      </w:r>
    </w:p>
    <w:p w14:paraId="2F1007AB">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7.中国式现代化实践对马克思主义社会形态理论的创新贡献研究</w:t>
      </w:r>
    </w:p>
    <w:p w14:paraId="1502F83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8.中国共产党领导制定经济社会发展规划的基本经验研究</w:t>
      </w:r>
    </w:p>
    <w:p w14:paraId="2DF97907">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9.世界文学与不同文明形态的交融与冲突研究</w:t>
      </w:r>
    </w:p>
    <w:p w14:paraId="56A4BE9C">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10.世界华人文学的跨语际实践与中国故事叙事策略研究</w:t>
      </w:r>
    </w:p>
    <w:p w14:paraId="093141F0">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11.西方地缘政治、地缘经济的理论建构及其历史研究</w:t>
      </w:r>
    </w:p>
    <w:p w14:paraId="41BB50CE">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12.世界进入新的动荡变革期的主要特征和发展态势研究</w:t>
      </w:r>
    </w:p>
    <w:p w14:paraId="4A17C6A7">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13.中国阐释学话语体系建构研究</w:t>
      </w:r>
    </w:p>
    <w:p w14:paraId="0D2CCA04">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14.界面理论的汉语语法研究与人工智能汉语处理</w:t>
      </w:r>
    </w:p>
    <w:p w14:paraId="0A4EAAA9">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15.中国传统文论中的中华美育精神阐释研究</w:t>
      </w:r>
    </w:p>
    <w:p w14:paraId="06F5D982">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16.世界文学与不同文明形态的交融与冲突研究</w:t>
      </w:r>
    </w:p>
    <w:p w14:paraId="20A607F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17.世界华人文学的跨语际实践与中国故事叙事策略研究</w:t>
      </w:r>
    </w:p>
    <w:p w14:paraId="1C8CBAB2">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18.扩大开放背景下统筹国内国际文化市场的体制机制研究</w:t>
      </w:r>
    </w:p>
    <w:p w14:paraId="5DE2ECF8">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19.中国式现代化的历史文化源流、创新实践与全球化价值研究</w:t>
      </w:r>
    </w:p>
    <w:p w14:paraId="65A9C9AC">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20.中西历史学知识体系建构比较研究</w:t>
      </w:r>
    </w:p>
    <w:p w14:paraId="3DAAB4AF">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21.医学考古学研究</w:t>
      </w:r>
    </w:p>
    <w:p w14:paraId="58E27850">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22.古代居民健康与定居农业研究</w:t>
      </w:r>
    </w:p>
    <w:p w14:paraId="032E6DA2">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23.新质生产力理论体系与实践问题研究</w:t>
      </w:r>
    </w:p>
    <w:p w14:paraId="273087C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24.“十五五”时期世界经济走势及对我国经济高质量发展的影响及对策研究</w:t>
      </w:r>
    </w:p>
    <w:p w14:paraId="0BD6231C">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25.全口径消费统计的理论与中国实践研究</w:t>
      </w:r>
    </w:p>
    <w:p w14:paraId="310DA1AB">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26.金融稳定风险统计监测、预警及对策研究</w:t>
      </w:r>
    </w:p>
    <w:p w14:paraId="72FFF54F">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27.构建房地产发展新模式的理论创新与实现机制研究</w:t>
      </w:r>
    </w:p>
    <w:p w14:paraId="6072CFE2">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28.低空应用场景和需求培育总体思路研究</w:t>
      </w:r>
    </w:p>
    <w:p w14:paraId="2F9DF86E">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29.构建高水平社会主义市场经济体制的法治保障研究</w:t>
      </w:r>
    </w:p>
    <w:p w14:paraId="5A5059F1">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30.人工智能“深度伪造”对刑事司法的挑战及应对研究</w:t>
      </w:r>
    </w:p>
    <w:p w14:paraId="5797656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31.人工智能“内容生产”对青少年社会心态的影响及对策研究</w:t>
      </w:r>
    </w:p>
    <w:p w14:paraId="661A7ECE">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32.网络社会背景下人的社会化场景变化及其影响研究</w:t>
      </w:r>
    </w:p>
    <w:p w14:paraId="217F82E0">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33.人口发展趋势对经济安全的多重影响与战略应对研究</w:t>
      </w:r>
    </w:p>
    <w:p w14:paraId="33CC7D47">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34.人口流动与县域城乡融合发展研究</w:t>
      </w:r>
    </w:p>
    <w:p w14:paraId="46EEE595">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35.世界民族问题发展态势研究</w:t>
      </w:r>
    </w:p>
    <w:p w14:paraId="55EA6855">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36.当代中西民族政策比较研究</w:t>
      </w:r>
    </w:p>
    <w:p w14:paraId="1CB1719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37.构建适应全媒体内容生产的传播机制和评价体系研究</w:t>
      </w:r>
    </w:p>
    <w:p w14:paraId="5E5FE9ED">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38.互联网新闻信息服务管理面临的形势、问题及对策研究</w:t>
      </w:r>
    </w:p>
    <w:p w14:paraId="209DFFCB">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39.人工智能驱动的知识组织与图书馆服务研究</w:t>
      </w:r>
    </w:p>
    <w:p w14:paraId="686AC84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40.数智背景下档案数据要素治理生态构建研究</w:t>
      </w:r>
    </w:p>
    <w:p w14:paraId="6392ABE7">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41.《教育强国建设规划纲要》实施跟踪研究</w:t>
      </w:r>
    </w:p>
    <w:p w14:paraId="0CD9A1C6">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42.社会主义核心价值观教育成效评价研究</w:t>
      </w:r>
    </w:p>
    <w:p w14:paraId="141FEF24">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43.新质生产力赋能体育高质量发展研究</w:t>
      </w:r>
    </w:p>
    <w:p w14:paraId="22754668">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44.竞技体育管理体制和运行机制改革研究</w:t>
      </w:r>
    </w:p>
    <w:p w14:paraId="081ABA68">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马克思主义理论/思想政治教育</w:t>
      </w:r>
    </w:p>
    <w:p w14:paraId="046DEB38">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*1.习近平总书记关于党的自我革命重要思想研究</w:t>
      </w:r>
    </w:p>
    <w:p w14:paraId="07E5891B">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*2.习近平总书记关于加强党的作风建设重要论述研究</w:t>
      </w:r>
    </w:p>
    <w:p w14:paraId="0BC98869">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*3.习近平总书记关于学校思政课建设重要论述研究</w:t>
      </w:r>
    </w:p>
    <w:p w14:paraId="4D82CF14">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*4.习近平文化思想融入高校思政课教学的机制和路径研究</w:t>
      </w:r>
    </w:p>
    <w:p w14:paraId="2E4F0F2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*5.深化习近平新时代中国特色社会主义思想教学体系化研究</w:t>
      </w:r>
    </w:p>
    <w:p w14:paraId="2A06142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*6.“六个坚持”的内在逻辑、方法途径和实践要求研究</w:t>
      </w:r>
    </w:p>
    <w:p w14:paraId="4640F297">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*7.中国式现代化的时代背景、本质要求和世界意义研究</w:t>
      </w:r>
    </w:p>
    <w:p w14:paraId="44A76871">
      <w:pPr>
        <w:spacing w:line="600" w:lineRule="exact"/>
        <w:ind w:firstLine="0" w:firstLineChars="0"/>
        <w:rPr>
          <w:rFonts w:hint="default" w:ascii="Times New Roman" w:hAnsi="Times New Roman" w:eastAsia="方正仿宋_GBK" w:cs="Times New Roman"/>
          <w:w w:val="95"/>
          <w:sz w:val="32"/>
          <w:szCs w:val="32"/>
        </w:rPr>
      </w:pPr>
      <w:r>
        <w:rPr>
          <w:rFonts w:hint="default" w:ascii="Times New Roman" w:hAnsi="Times New Roman" w:eastAsia="方正仿宋_GBK" w:cs="Times New Roman"/>
          <w:w w:val="95"/>
          <w:sz w:val="32"/>
          <w:szCs w:val="32"/>
        </w:rPr>
        <w:t>*8.标识性重大概念、原创性思想观点、原理性理论成果学理化研究</w:t>
      </w:r>
    </w:p>
    <w:p w14:paraId="655E8BD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*9.马克思主义与中华优秀传统文化契合性研究</w:t>
      </w:r>
    </w:p>
    <w:p w14:paraId="7728B529">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*10.马克思主义现代化理论研究</w:t>
      </w:r>
    </w:p>
    <w:p w14:paraId="6FBAED36">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*11.马克思主义与当代思潮前沿问题研究</w:t>
      </w:r>
    </w:p>
    <w:p w14:paraId="712B329D">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*12.马克思主义发展史、传播史和国际共产主义运动史、社会主义发展史研究</w:t>
      </w:r>
    </w:p>
    <w:p w14:paraId="2141B6E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*13.当代资本主义新变化与国外马克思主义批判理论新动向研究</w:t>
      </w:r>
    </w:p>
    <w:p w14:paraId="7113B913">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*14.海外习近平新时代中国特色社会主义思想研究追踪和引导</w:t>
      </w:r>
    </w:p>
    <w:p w14:paraId="1CB00E55">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15.“大思政课”建设中有效激发学生主体性的路径研究</w:t>
      </w:r>
    </w:p>
    <w:p w14:paraId="2922933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16.新时代高质量思政课案例教学及案例库建设研究</w:t>
      </w:r>
    </w:p>
    <w:p w14:paraId="2E778C7D">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17.重庆市民办高校思政课教学质量提升研究</w:t>
      </w:r>
    </w:p>
    <w:p w14:paraId="3B555E85">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18.重庆市高校马克思主义学科布局现状研究</w:t>
      </w:r>
    </w:p>
    <w:p w14:paraId="5517D641">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19.马克思主义理论学科建设与高校思政课改革创新协同发</w:t>
      </w:r>
    </w:p>
    <w:p w14:paraId="0E834F76">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展研究</w:t>
      </w:r>
    </w:p>
    <w:p w14:paraId="5E8C1F28">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20.高校思想政治理论课教学评价改革研究</w:t>
      </w:r>
    </w:p>
    <w:p w14:paraId="409431B3">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21.重庆市高校重点马克思主义学院、特色马克思主义学院建</w:t>
      </w:r>
    </w:p>
    <w:p w14:paraId="104376A6">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设成效研究</w:t>
      </w:r>
    </w:p>
    <w:p w14:paraId="072B70E3">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22.重庆市大中小学思想政治教育一体化建设研究</w:t>
      </w:r>
    </w:p>
    <w:p w14:paraId="289658E2">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23.数智时代高校网络思想政治教育创新研究</w:t>
      </w:r>
    </w:p>
    <w:p w14:paraId="2ADC9438">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24.人工智能时代高校主流意识形态安全风险及化解机制研究</w:t>
      </w:r>
    </w:p>
    <w:p w14:paraId="6B2EF212">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25.新时代高校学生社团育人功能优化提升研究</w:t>
      </w:r>
    </w:p>
    <w:p w14:paraId="0309928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26.重庆市红色文化融入思想政治教育一体化的途径与策略研究</w:t>
      </w:r>
    </w:p>
    <w:p w14:paraId="637582CB">
      <w:pPr>
        <w:spacing w:line="600" w:lineRule="exact"/>
        <w:ind w:firstLine="64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br w:type="page"/>
      </w:r>
    </w:p>
    <w:p w14:paraId="2E27A0A1">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哲学</w:t>
      </w:r>
    </w:p>
    <w:p w14:paraId="414A1622">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*1.习近平文化思想的哲学基础研究</w:t>
      </w:r>
    </w:p>
    <w:p w14:paraId="523FE16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*2.文化强国建设的马克思主义哲学基础研究</w:t>
      </w:r>
    </w:p>
    <w:p w14:paraId="77B812F2">
      <w:pPr>
        <w:spacing w:line="600" w:lineRule="exact"/>
        <w:ind w:firstLine="0" w:firstLineChars="0"/>
        <w:rPr>
          <w:rFonts w:hint="default" w:ascii="Times New Roman" w:hAnsi="Times New Roman" w:eastAsia="方正仿宋_GBK" w:cs="Times New Roman"/>
          <w:w w:val="95"/>
          <w:sz w:val="32"/>
          <w:szCs w:val="32"/>
        </w:rPr>
      </w:pPr>
      <w:r>
        <w:rPr>
          <w:rFonts w:hint="default" w:ascii="Times New Roman" w:hAnsi="Times New Roman" w:eastAsia="方正仿宋_GBK" w:cs="Times New Roman"/>
          <w:w w:val="95"/>
          <w:sz w:val="32"/>
          <w:szCs w:val="32"/>
        </w:rPr>
        <w:t>*3.马克思主义中国化时代化的文明根基、历史进程和基本经验研究</w:t>
      </w:r>
    </w:p>
    <w:p w14:paraId="6BBBD3E2">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*4.马克思主义科技观的当代发展与现实意义研究</w:t>
      </w:r>
    </w:p>
    <w:p w14:paraId="1FBC7C9D">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*5.马克思主义哲学经典文本与当代意义研究</w:t>
      </w:r>
    </w:p>
    <w:p w14:paraId="1D056216">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*6.当代西方政治哲学前沿问题与发展趋势研究</w:t>
      </w:r>
    </w:p>
    <w:p w14:paraId="7290B1AB">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*7.马克思主义世界历史理论与当代意义研究</w:t>
      </w:r>
    </w:p>
    <w:p w14:paraId="33FCD87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*8.中西马克思主义哲学对话与当代中国哲学体系构建研究</w:t>
      </w:r>
    </w:p>
    <w:p w14:paraId="060A3EDB">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*9.科技时代伦理学基础理论创新与前沿挑战研究</w:t>
      </w:r>
    </w:p>
    <w:p w14:paraId="521A0C4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*10.中国哲学基础问题与当代价值研究</w:t>
      </w:r>
    </w:p>
    <w:p w14:paraId="4C5707B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11.中华传统美德传承与发展研究</w:t>
      </w:r>
    </w:p>
    <w:p w14:paraId="41D0E415">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12.中华美学精神与美学理论研究</w:t>
      </w:r>
    </w:p>
    <w:p w14:paraId="05CACE3A">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13.人工智能与科技伦理研究</w:t>
      </w:r>
    </w:p>
    <w:p w14:paraId="50563D51">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14.人工智能技术变革下知识产权伦理问题研究</w:t>
      </w:r>
    </w:p>
    <w:p w14:paraId="177B39C0">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15.社会发展与社会风险的哲学研究</w:t>
      </w:r>
    </w:p>
    <w:p w14:paraId="6D632EB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16.逻辑学基础理论与前沿问题研究</w:t>
      </w:r>
    </w:p>
    <w:p w14:paraId="110557D7">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17.当代科技前沿重大问题哲学研究</w:t>
      </w:r>
    </w:p>
    <w:p w14:paraId="15078FBA">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18.交叉学科视域下的科技发展哲学与伦理规范研究</w:t>
      </w:r>
    </w:p>
    <w:p w14:paraId="2452F34D">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19.民间信仰与中华民族共同体意识的地方实践研究</w:t>
      </w:r>
    </w:p>
    <w:p w14:paraId="5E218405">
      <w:pPr>
        <w:spacing w:line="600" w:lineRule="exact"/>
        <w:ind w:firstLine="0" w:firstLineChars="0"/>
        <w:rPr>
          <w:rFonts w:hint="default" w:ascii="Times New Roman" w:hAnsi="Times New Roman" w:eastAsia="方正仿宋_GBK" w:cs="Times New Roman"/>
          <w:bCs/>
          <w:color w:val="000000" w:themeColor="text1"/>
          <w:kern w:val="0"/>
          <w:sz w:val="32"/>
          <w:szCs w:val="32"/>
          <w14:textFill>
            <w14:solidFill>
              <w14:schemeClr w14:val="tx1"/>
            </w14:solidFill>
          </w14:textFill>
        </w:rPr>
        <w:sectPr>
          <w:headerReference r:id="rId17" w:type="default"/>
          <w:footerReference r:id="rId18" w:type="default"/>
          <w:pgSz w:w="11906" w:h="16838"/>
          <w:pgMar w:top="1985" w:right="1446" w:bottom="1644" w:left="1446" w:header="851" w:footer="992" w:gutter="0"/>
          <w:cols w:space="425" w:num="1"/>
          <w:docGrid w:type="lines" w:linePitch="312" w:charSpace="0"/>
        </w:sectPr>
      </w:pPr>
    </w:p>
    <w:p w14:paraId="46D2AF86">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政治学</w:t>
      </w:r>
    </w:p>
    <w:p w14:paraId="1BA47D40">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*1.习近平总书记关于党的自我革命重要思想的学理化研究</w:t>
      </w:r>
    </w:p>
    <w:p w14:paraId="1065C45D">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*2.中国共产党思想建党的历史经验研究</w:t>
      </w:r>
    </w:p>
    <w:p w14:paraId="2B2ADB89">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*3.深化党的建设制度改革的理论与实践研究</w:t>
      </w:r>
    </w:p>
    <w:p w14:paraId="2634CFA4">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*4.强化基层党组织政治功能和组织功能的实践进路研究</w:t>
      </w:r>
    </w:p>
    <w:p w14:paraId="530E9B3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*5.人工智能时代背景下党员教育管理创新研究</w:t>
      </w:r>
    </w:p>
    <w:p w14:paraId="7266A377">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*6.加强科技创新型企业党建工作研究</w:t>
      </w:r>
    </w:p>
    <w:p w14:paraId="6699F56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*7.加强新时代廉洁文化建设研究</w:t>
      </w:r>
    </w:p>
    <w:p w14:paraId="3B6957B3">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*8.新时代党的作风建设常态化长效化机制研究</w:t>
      </w:r>
    </w:p>
    <w:p w14:paraId="53564697">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*9.纪检监察法律法规体系研究</w:t>
      </w:r>
    </w:p>
    <w:p w14:paraId="2FDF0385">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*10.党建引领基层治理和基层政权建设研究</w:t>
      </w:r>
    </w:p>
    <w:p w14:paraId="1996D80A">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*11.政务数据赋能数字政府效能提升的机制与路径研究</w:t>
      </w:r>
    </w:p>
    <w:p w14:paraId="4AEABF7D">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*12.大数据算法对政治安全的影响分析及治理研究</w:t>
      </w:r>
    </w:p>
    <w:p w14:paraId="2AC0FFAB">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*13.政党、人民和国家关系的理论建构研究</w:t>
      </w:r>
    </w:p>
    <w:p w14:paraId="491D141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14.新时代统一战线工作的新特点与新思路研究</w:t>
      </w:r>
    </w:p>
    <w:p w14:paraId="7B99AA4C">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15.超大城市更新行动与基层治理能力提升研究</w:t>
      </w:r>
    </w:p>
    <w:p w14:paraId="512718EC">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16.超大城市社会治理的数智赋能研究</w:t>
      </w:r>
    </w:p>
    <w:p w14:paraId="63F4048D">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17.行业协会商会党建标准化和综合监管机制研究</w:t>
      </w:r>
    </w:p>
    <w:p w14:paraId="235F87DD">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18.新时代新就业群体服务管理研究</w:t>
      </w:r>
    </w:p>
    <w:p w14:paraId="22EBFFA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19.引导社会力量参与社区治理途径研究</w:t>
      </w:r>
    </w:p>
    <w:p w14:paraId="52BC7A3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20.基层协商议事机制研究</w:t>
      </w:r>
    </w:p>
    <w:p w14:paraId="23AA9A08">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21.重庆基层治理创新的典型案例和成效评价研究</w:t>
      </w:r>
    </w:p>
    <w:p w14:paraId="62E3E1E5">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22.健全重庆市基层民主制度研究</w:t>
      </w:r>
    </w:p>
    <w:p w14:paraId="5B5E08D9">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23.重庆完善重大决策社会稳定和安全风险评估工作机制研究</w:t>
      </w:r>
    </w:p>
    <w:p w14:paraId="418653E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24.重庆完善社会矛盾纠纷多元预防调处化解综合机制研究</w:t>
      </w:r>
    </w:p>
    <w:p w14:paraId="594ECF44">
      <w:pPr>
        <w:spacing w:line="600" w:lineRule="exact"/>
        <w:ind w:firstLine="64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br w:type="page"/>
      </w:r>
    </w:p>
    <w:p w14:paraId="3F723C92">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国际问题研究</w:t>
      </w:r>
    </w:p>
    <w:p w14:paraId="1C8A70DA">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*1.习近平外交思想研究</w:t>
      </w:r>
    </w:p>
    <w:p w14:paraId="06181D70">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*2.周边国家对华认知与文化倾向研究</w:t>
      </w:r>
    </w:p>
    <w:p w14:paraId="662DF4AD">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*3.大国博弈和地缘政治风险对我国粮食安全的影响及对策研究</w:t>
      </w:r>
    </w:p>
    <w:p w14:paraId="0C108A63">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*4.主要发达国家颠覆性技术发展、项目布局及新兴方向研究</w:t>
      </w:r>
    </w:p>
    <w:p w14:paraId="71999CE7">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*5.世界主要国家政党政治发展的新特点与新走向研究</w:t>
      </w:r>
    </w:p>
    <w:p w14:paraId="2D2538D0">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*6.对外人才队伍建设与培养研究</w:t>
      </w:r>
    </w:p>
    <w:p w14:paraId="080156D0">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7.重庆服务对外开放大局面临问题与挑战研究</w:t>
      </w:r>
    </w:p>
    <w:p w14:paraId="366C1579">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8.重庆重点交往国家和地区的区域国别研究</w:t>
      </w:r>
    </w:p>
    <w:p w14:paraId="6B80875D">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9.重庆跨境区域合作研究</w:t>
      </w:r>
    </w:p>
    <w:p w14:paraId="3CD5F4C5">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10.国际友城合作提质增效与创新模式研究</w:t>
      </w:r>
    </w:p>
    <w:p w14:paraId="771BF850">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11.提升重庆国际传播效能与对外话语阐释研究</w:t>
      </w:r>
    </w:p>
    <w:p w14:paraId="07121199">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12.重庆应对涉外突发事件的机制与策略研究</w:t>
      </w:r>
    </w:p>
    <w:p w14:paraId="5B39C9DC">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13.重庆企业出海重点区域国别法律风险防范研究</w:t>
      </w:r>
    </w:p>
    <w:p w14:paraId="5301EE5D">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14.服务国家外交大局背景下重庆对外工作能力建设路径研究</w:t>
      </w:r>
    </w:p>
    <w:p w14:paraId="0C223FC7">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p>
    <w:p w14:paraId="18F56E8A">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p>
    <w:p w14:paraId="1A9E7548">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p>
    <w:p w14:paraId="4C061A21">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p>
    <w:p w14:paraId="21254F10">
      <w:pPr>
        <w:widowControl w:val="0"/>
        <w:spacing w:line="360" w:lineRule="auto"/>
        <w:ind w:firstLine="0" w:firstLineChars="0"/>
        <w:rPr>
          <w:rFonts w:ascii="仿宋_GB2312" w:hAnsi="Times New Roman" w:eastAsia="仿宋_GB2312"/>
          <w:sz w:val="32"/>
          <w:szCs w:val="32"/>
        </w:rPr>
      </w:pPr>
    </w:p>
    <w:p w14:paraId="2F56E1F2">
      <w:pPr>
        <w:widowControl w:val="0"/>
        <w:spacing w:line="360" w:lineRule="auto"/>
        <w:ind w:firstLine="0" w:firstLineChars="0"/>
        <w:rPr>
          <w:rFonts w:ascii="仿宋_GB2312" w:hAnsi="Times New Roman" w:eastAsia="仿宋_GB2312"/>
          <w:sz w:val="32"/>
          <w:szCs w:val="32"/>
        </w:rPr>
      </w:pPr>
    </w:p>
    <w:p w14:paraId="3326BF2E">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语言学</w:t>
      </w:r>
    </w:p>
    <w:p w14:paraId="70811F60">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*1.文化认知语言学体系建构与汉语的文化认知研究</w:t>
      </w:r>
    </w:p>
    <w:p w14:paraId="249D93A6">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*2.中国文学在东南亚翻译传播史研究</w:t>
      </w:r>
    </w:p>
    <w:p w14:paraId="4C35FED3">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*3.服务新质生产力的语言智能关键技术与大语言模型语料库建设研究</w:t>
      </w:r>
    </w:p>
    <w:p w14:paraId="4E7DD558">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*4.人机交互与国家安全语境下的语用能力与话语策略研究</w:t>
      </w:r>
    </w:p>
    <w:p w14:paraId="4C6E7200">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*5.数智化赋能国际中文教育创新与中华文化沉浸式传播研究</w:t>
      </w:r>
    </w:p>
    <w:p w14:paraId="44184C75">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*6.文明互鉴视域下的汉字理论体系比较与话语权构建研究</w:t>
      </w:r>
    </w:p>
    <w:p w14:paraId="7339F1E7">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*7.中华经典注释传统的现代转化与当代价值阐释研究</w:t>
      </w:r>
    </w:p>
    <w:p w14:paraId="11021D1D">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8.文言文智能翻译与中华思想知识图谱构建研究</w:t>
      </w:r>
    </w:p>
    <w:p w14:paraId="19238E1F">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9.大数据驱动的高端应用翻译与行业语言服务研究</w:t>
      </w:r>
    </w:p>
    <w:p w14:paraId="040FF1AA">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10.中国典籍外译与融通中外的新概念、新范畴、新表述研究</w:t>
      </w:r>
    </w:p>
    <w:p w14:paraId="72B6B549">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11.人机协同的翻译范式变革与高端翻译人才培养重塑研究</w:t>
      </w:r>
    </w:p>
    <w:p w14:paraId="6655AA01">
      <w:pPr>
        <w:widowControl w:val="0"/>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12.区域文化“走出去”的跨媒介叙事与传播效能研究</w:t>
      </w:r>
    </w:p>
    <w:p w14:paraId="7F67C532">
      <w:pPr>
        <w:widowControl w:val="0"/>
        <w:spacing w:line="600" w:lineRule="exact"/>
        <w:ind w:firstLine="0" w:firstLineChars="0"/>
        <w:rPr>
          <w:rFonts w:hint="default" w:ascii="Times New Roman" w:hAnsi="Times New Roman" w:eastAsia="方正仿宋_GBK" w:cs="Times New Roman"/>
          <w:w w:val="95"/>
          <w:sz w:val="32"/>
          <w:szCs w:val="32"/>
        </w:rPr>
      </w:pPr>
      <w:r>
        <w:rPr>
          <w:rFonts w:hint="default" w:ascii="Times New Roman" w:hAnsi="Times New Roman" w:eastAsia="方正仿宋_GBK" w:cs="Times New Roman"/>
          <w:w w:val="95"/>
          <w:sz w:val="32"/>
          <w:szCs w:val="32"/>
        </w:rPr>
        <w:t>13.国家通用语言文字普及提升与区域儿童语言能力发展跟踪研究</w:t>
      </w:r>
    </w:p>
    <w:p w14:paraId="4B051164">
      <w:pPr>
        <w:widowControl w:val="0"/>
        <w:spacing w:line="600" w:lineRule="exact"/>
        <w:ind w:left="502" w:hanging="502" w:hangingChars="157"/>
        <w:rPr>
          <w:rFonts w:ascii="Times New Roman" w:hAnsi="Times New Roman" w:eastAsia="方正仿宋_GBK" w:cs="Times New Roman"/>
          <w:color w:val="000000" w:themeColor="text1"/>
          <w:sz w:val="32"/>
          <w:szCs w:val="32"/>
          <w14:textFill>
            <w14:solidFill>
              <w14:schemeClr w14:val="tx1"/>
            </w14:solidFill>
          </w14:textFill>
        </w:rPr>
      </w:pPr>
    </w:p>
    <w:p w14:paraId="1C78F77B">
      <w:pPr>
        <w:pStyle w:val="2"/>
        <w:spacing w:before="0" w:after="0" w:line="600" w:lineRule="exact"/>
        <w:ind w:firstLine="0" w:firstLineChars="0"/>
        <w:jc w:val="center"/>
        <w:rPr>
          <w:rFonts w:ascii="Times New Roman" w:hAnsi="Times New Roman" w:eastAsia="方正仿宋_GBK" w:cs="Times New Roman"/>
          <w:color w:val="000000" w:themeColor="text1"/>
          <w:kern w:val="0"/>
          <w:sz w:val="32"/>
          <w:szCs w:val="32"/>
          <w14:textFill>
            <w14:solidFill>
              <w14:schemeClr w14:val="tx1"/>
            </w14:solidFill>
          </w14:textFill>
        </w:rPr>
        <w:sectPr>
          <w:pgSz w:w="11906" w:h="16838"/>
          <w:pgMar w:top="1985" w:right="1446" w:bottom="1644" w:left="1446" w:header="851" w:footer="992" w:gutter="0"/>
          <w:cols w:space="425" w:num="1"/>
          <w:docGrid w:type="lines" w:linePitch="312" w:charSpace="0"/>
        </w:sectPr>
      </w:pPr>
    </w:p>
    <w:p w14:paraId="67BAEE77">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中国文学</w:t>
      </w:r>
    </w:p>
    <w:p w14:paraId="095B41B2">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*1.中国当代小说对叙事传统的传承与创新研究</w:t>
      </w:r>
    </w:p>
    <w:p w14:paraId="0CF403D0">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*2.中国现当代作家阅读史编纂与研究</w:t>
      </w:r>
    </w:p>
    <w:p w14:paraId="0842F43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*3.中国百年类型文学传承创新与海外传播研究</w:t>
      </w:r>
    </w:p>
    <w:p w14:paraId="0BA0B269">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*4.中华民族现代文明视域下的文学理论批评话语构建研究</w:t>
      </w:r>
    </w:p>
    <w:p w14:paraId="2EE92F5A">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*5.中国古代文体的融通演变及其规律研究</w:t>
      </w:r>
    </w:p>
    <w:p w14:paraId="42CA54E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6.中国现当代文学经典的时代价值研究</w:t>
      </w:r>
    </w:p>
    <w:p w14:paraId="67290201">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7.民间文艺的数字化建档、活态传承与共同体意识研究</w:t>
      </w:r>
    </w:p>
    <w:p w14:paraId="2B3ECE82">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8.断代文学文献的整理方法与学术体系建构研究</w:t>
      </w:r>
    </w:p>
    <w:p w14:paraId="23852B84">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9.文学书写中的地域认同与国家意象研究</w:t>
      </w:r>
    </w:p>
    <w:p w14:paraId="46E33C12">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10.重庆民间文艺的发展脉络与文化动力研究</w:t>
      </w:r>
    </w:p>
    <w:p w14:paraId="16846591">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11.伟大抗战精神研究</w:t>
      </w:r>
    </w:p>
    <w:p w14:paraId="70393C25">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12.红色文化、巴蜀文化融合发展研究</w:t>
      </w:r>
    </w:p>
    <w:p w14:paraId="5EC55ACA">
      <w:pPr>
        <w:widowControl w:val="0"/>
        <w:spacing w:line="600" w:lineRule="exact"/>
        <w:ind w:left="502" w:hanging="502" w:hangingChars="157"/>
        <w:rPr>
          <w:rFonts w:ascii="仿宋_GB2312" w:hAnsi="Times New Roman" w:eastAsia="仿宋_GB2312" w:cs="Times New Roman"/>
          <w:color w:val="000000" w:themeColor="text1"/>
          <w:sz w:val="32"/>
          <w:szCs w:val="32"/>
          <w14:textFill>
            <w14:solidFill>
              <w14:schemeClr w14:val="tx1"/>
            </w14:solidFill>
          </w14:textFill>
        </w:rPr>
      </w:pPr>
    </w:p>
    <w:p w14:paraId="5438E141">
      <w:pPr>
        <w:widowControl w:val="0"/>
        <w:spacing w:line="600" w:lineRule="exact"/>
        <w:ind w:left="502" w:hanging="502" w:hangingChars="157"/>
        <w:rPr>
          <w:rFonts w:ascii="仿宋_GB2312" w:hAnsi="Times New Roman" w:eastAsia="仿宋_GB2312" w:cs="Times New Roman"/>
          <w:color w:val="000000" w:themeColor="text1"/>
          <w:sz w:val="32"/>
          <w:szCs w:val="32"/>
          <w14:textFill>
            <w14:solidFill>
              <w14:schemeClr w14:val="tx1"/>
            </w14:solidFill>
          </w14:textFill>
        </w:rPr>
      </w:pPr>
    </w:p>
    <w:p w14:paraId="25266DB5">
      <w:pPr>
        <w:pStyle w:val="2"/>
        <w:spacing w:before="0" w:after="0" w:line="600" w:lineRule="exact"/>
        <w:ind w:firstLine="0" w:firstLineChars="0"/>
        <w:jc w:val="center"/>
        <w:rPr>
          <w:rFonts w:ascii="黑体" w:hAnsi="黑体" w:eastAsia="黑体" w:cs="宋体"/>
          <w:color w:val="000000" w:themeColor="text1"/>
          <w:kern w:val="0"/>
          <w:sz w:val="32"/>
          <w:szCs w:val="32"/>
          <w14:textFill>
            <w14:solidFill>
              <w14:schemeClr w14:val="tx1"/>
            </w14:solidFill>
          </w14:textFill>
        </w:rPr>
        <w:sectPr>
          <w:pgSz w:w="11906" w:h="16838"/>
          <w:pgMar w:top="1985" w:right="1446" w:bottom="1644" w:left="1446" w:header="851" w:footer="992" w:gutter="0"/>
          <w:cols w:space="425" w:num="1"/>
          <w:docGrid w:type="lines" w:linePitch="312" w:charSpace="0"/>
        </w:sectPr>
      </w:pPr>
    </w:p>
    <w:p w14:paraId="4E4B6C3B">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外国文学</w:t>
      </w:r>
    </w:p>
    <w:p w14:paraId="3E83E51B">
      <w:pPr>
        <w:widowControl w:val="0"/>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*1.人类命运共同体视域下的世界文学文明互鉴研究</w:t>
      </w:r>
    </w:p>
    <w:p w14:paraId="64F91632">
      <w:pPr>
        <w:widowControl w:val="0"/>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*2.外国文学中现代性问题的重新审视与研究</w:t>
      </w:r>
    </w:p>
    <w:p w14:paraId="42D570C1">
      <w:pPr>
        <w:widowControl w:val="0"/>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*3.外国文学中的博物馆、档案与文化遗产书写研究</w:t>
      </w:r>
    </w:p>
    <w:p w14:paraId="115367DE">
      <w:pPr>
        <w:widowControl w:val="0"/>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*4.中外比较文学重要理论家研究</w:t>
      </w:r>
    </w:p>
    <w:p w14:paraId="47C47BA0">
      <w:pPr>
        <w:widowControl w:val="0"/>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*5.中外科幻文学与当下问题研究</w:t>
      </w:r>
    </w:p>
    <w:p w14:paraId="57C78A02">
      <w:pPr>
        <w:widowControl w:val="0"/>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6.中外文学中的城乡书写研究</w:t>
      </w:r>
    </w:p>
    <w:p w14:paraId="1D064340">
      <w:pPr>
        <w:widowControl w:val="0"/>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7.数字人文视野下的中外文学研究范式转型</w:t>
      </w:r>
    </w:p>
    <w:p w14:paraId="144E9D88">
      <w:pPr>
        <w:widowControl w:val="0"/>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8.外国现当代重要作家、作品与文学现象研究</w:t>
      </w:r>
    </w:p>
    <w:p w14:paraId="26FE357C">
      <w:pPr>
        <w:widowControl w:val="0"/>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9.中外文论的对话与互构研究</w:t>
      </w:r>
    </w:p>
    <w:p w14:paraId="0156B00A">
      <w:pPr>
        <w:widowControl w:val="0"/>
        <w:spacing w:line="600" w:lineRule="exact"/>
        <w:ind w:left="502" w:hanging="502" w:hangingChars="157"/>
        <w:rPr>
          <w:rFonts w:ascii="仿宋_GB2312" w:eastAsia="仿宋_GB2312"/>
          <w:sz w:val="32"/>
          <w:szCs w:val="32"/>
        </w:rPr>
      </w:pPr>
      <w:r>
        <w:rPr>
          <w:rFonts w:hint="default" w:ascii="Times New Roman" w:hAnsi="Times New Roman" w:eastAsia="方正仿宋_GBK" w:cs="Times New Roman"/>
          <w:sz w:val="32"/>
          <w:szCs w:val="32"/>
        </w:rPr>
        <w:t>10.比较文学“中国学派”研究</w:t>
      </w:r>
      <w:r>
        <w:rPr>
          <w:rFonts w:ascii="仿宋_GB2312" w:eastAsia="仿宋_GB2312"/>
          <w:sz w:val="32"/>
          <w:szCs w:val="32"/>
        </w:rPr>
        <w:br w:type="page"/>
      </w:r>
    </w:p>
    <w:p w14:paraId="75AC28E0">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艺术学</w:t>
      </w:r>
    </w:p>
    <w:p w14:paraId="68A910E2">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*1.和美乡村景观设计理论与实践研究</w:t>
      </w:r>
    </w:p>
    <w:p w14:paraId="38F9AF0E">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*2.新质生产力视角下重庆工业棕地景观更新设计研究</w:t>
      </w:r>
    </w:p>
    <w:p w14:paraId="5DBD76B7">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*3.重庆文化艺术产业提振研究</w:t>
      </w:r>
    </w:p>
    <w:p w14:paraId="48802106">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4.重庆影视专题研究</w:t>
      </w:r>
    </w:p>
    <w:p w14:paraId="767FB526">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5.重庆戏曲专题研究</w:t>
      </w:r>
    </w:p>
    <w:p w14:paraId="1C556812">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6.重庆音乐专题研究</w:t>
      </w:r>
    </w:p>
    <w:p w14:paraId="1386385C">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7.重庆美术专题研究</w:t>
      </w:r>
    </w:p>
    <w:p w14:paraId="1F2CCF48">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8.重庆雕塑专题研究</w:t>
      </w:r>
    </w:p>
    <w:p w14:paraId="1518B6EE">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9.重庆书法专题研究</w:t>
      </w:r>
    </w:p>
    <w:p w14:paraId="702E7DA8">
      <w:pPr>
        <w:spacing w:line="600" w:lineRule="exact"/>
        <w:ind w:left="502" w:hanging="502" w:hangingChars="157"/>
        <w:rPr>
          <w:rFonts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sz w:val="32"/>
          <w:szCs w:val="32"/>
        </w:rPr>
        <w:t>10.重庆建筑专题研究</w:t>
      </w:r>
      <w:r>
        <w:rPr>
          <w:rFonts w:ascii="Times New Roman" w:hAnsi="Times New Roman" w:eastAsia="方正仿宋_GBK" w:cs="Times New Roman"/>
          <w:bCs/>
          <w:color w:val="000000" w:themeColor="text1"/>
          <w:kern w:val="0"/>
          <w:sz w:val="32"/>
          <w:szCs w:val="32"/>
          <w14:textFill>
            <w14:solidFill>
              <w14:schemeClr w14:val="tx1"/>
            </w14:solidFill>
          </w14:textFill>
        </w:rPr>
        <w:br w:type="page"/>
      </w:r>
    </w:p>
    <w:p w14:paraId="429794E3">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bookmarkStart w:id="0" w:name="_Toc60086866"/>
      <w:r>
        <w:rPr>
          <w:rFonts w:hint="eastAsia" w:ascii="方正黑体_GBK" w:hAnsi="黑体" w:eastAsia="方正黑体_GBK" w:cs="宋体"/>
          <w:bCs/>
          <w:color w:val="000000" w:themeColor="text1"/>
          <w:kern w:val="0"/>
          <w:sz w:val="32"/>
          <w:szCs w:val="32"/>
          <w14:textFill>
            <w14:solidFill>
              <w14:schemeClr w14:val="tx1"/>
            </w14:solidFill>
          </w14:textFill>
        </w:rPr>
        <w:t>历史</w:t>
      </w:r>
      <w:bookmarkEnd w:id="0"/>
      <w:r>
        <w:rPr>
          <w:rFonts w:hint="eastAsia" w:ascii="方正黑体_GBK" w:hAnsi="黑体" w:eastAsia="方正黑体_GBK" w:cs="宋体"/>
          <w:bCs/>
          <w:color w:val="000000" w:themeColor="text1"/>
          <w:kern w:val="0"/>
          <w:sz w:val="32"/>
          <w:szCs w:val="32"/>
          <w14:textFill>
            <w14:solidFill>
              <w14:schemeClr w14:val="tx1"/>
            </w14:solidFill>
          </w14:textFill>
        </w:rPr>
        <w:t>学</w:t>
      </w:r>
    </w:p>
    <w:p w14:paraId="4C378FDF">
      <w:pPr>
        <w:spacing w:line="600" w:lineRule="exact"/>
        <w:ind w:firstLine="0" w:firstLineChars="0"/>
        <w:rPr>
          <w:rFonts w:hint="default" w:ascii="Times New Roman" w:hAnsi="Times New Roman" w:eastAsia="方正仿宋_GBK" w:cs="Times New Roman"/>
          <w:sz w:val="32"/>
          <w:szCs w:val="32"/>
        </w:rPr>
      </w:pPr>
      <w:bookmarkStart w:id="1" w:name="_Toc60086868"/>
      <w:r>
        <w:rPr>
          <w:rFonts w:hint="default" w:ascii="Times New Roman" w:hAnsi="Times New Roman" w:eastAsia="方正仿宋_GBK" w:cs="Times New Roman"/>
          <w:sz w:val="32"/>
          <w:szCs w:val="32"/>
        </w:rPr>
        <w:t>*1.中国历代水运与国家治理研究</w:t>
      </w:r>
    </w:p>
    <w:p w14:paraId="0A973BD3">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*2.重庆作为国家战略腹地的历史贡献研究</w:t>
      </w:r>
    </w:p>
    <w:p w14:paraId="66DED103">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*3.世界商业战争史研究</w:t>
      </w:r>
    </w:p>
    <w:p w14:paraId="0D05453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4.交通体系的演变与现代重庆城市变动研究</w:t>
      </w:r>
    </w:p>
    <w:p w14:paraId="1E3E3D9B">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5.重庆海关历史档案整理与研究</w:t>
      </w:r>
    </w:p>
    <w:p w14:paraId="54CE343B">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6.抗战时期国民政府军事工业管理与运作研究</w:t>
      </w:r>
    </w:p>
    <w:p w14:paraId="05B69BD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7.抗战时期重庆地区出版史研究</w:t>
      </w:r>
    </w:p>
    <w:p w14:paraId="498664B8">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8.抗战时期大后方美术文献整理与研究</w:t>
      </w:r>
    </w:p>
    <w:p w14:paraId="43D2D537">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9.抗战大后方乡村社会调查资料整理与研究</w:t>
      </w:r>
    </w:p>
    <w:p w14:paraId="0A4A67D0">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10.中国中医学史研究</w:t>
      </w:r>
    </w:p>
    <w:p w14:paraId="637D5F51">
      <w:pPr>
        <w:spacing w:line="360" w:lineRule="auto"/>
        <w:ind w:left="502" w:hanging="502" w:hangingChars="157"/>
        <w:rPr>
          <w:rFonts w:ascii="仿宋_GB2312" w:eastAsia="仿宋_GB2312"/>
          <w:sz w:val="32"/>
          <w:szCs w:val="32"/>
          <w:highlight w:val="yellow"/>
        </w:rPr>
      </w:pPr>
    </w:p>
    <w:p w14:paraId="5BBE8E93">
      <w:pPr>
        <w:spacing w:line="360" w:lineRule="auto"/>
        <w:ind w:left="502" w:hanging="502" w:hangingChars="157"/>
        <w:rPr>
          <w:rFonts w:ascii="仿宋_GB2312" w:eastAsia="仿宋_GB2312"/>
          <w:sz w:val="32"/>
          <w:szCs w:val="32"/>
          <w:highlight w:val="yellow"/>
        </w:rPr>
        <w:sectPr>
          <w:pgSz w:w="11906" w:h="16838"/>
          <w:pgMar w:top="1701" w:right="1418" w:bottom="1418" w:left="1418" w:header="851" w:footer="992" w:gutter="0"/>
          <w:cols w:space="425" w:num="1"/>
          <w:docGrid w:type="lines" w:linePitch="312" w:charSpace="0"/>
        </w:sectPr>
      </w:pPr>
    </w:p>
    <w:p w14:paraId="387089AD">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考古学</w:t>
      </w:r>
      <w:bookmarkEnd w:id="1"/>
    </w:p>
    <w:p w14:paraId="505E7761">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*1.重庆地区环境变化与区域文明兴衰的考古学研究</w:t>
      </w:r>
    </w:p>
    <w:p w14:paraId="5316B3A8">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2.三峡原始先民的人居环境研究</w:t>
      </w:r>
    </w:p>
    <w:p w14:paraId="28F711B1">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3.动物考古视角下的重庆地区古环境研究</w:t>
      </w:r>
    </w:p>
    <w:p w14:paraId="296E8F17">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4.重庆地区古代墓葬发掘资料整理与研究</w:t>
      </w:r>
    </w:p>
    <w:p w14:paraId="11742C64">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5.考古视角下巴蜀政治中心的变迁研究</w:t>
      </w:r>
    </w:p>
    <w:p w14:paraId="30D7B34C">
      <w:pPr>
        <w:spacing w:line="600" w:lineRule="exact"/>
        <w:ind w:firstLine="640"/>
        <w:rPr>
          <w:rFonts w:ascii="仿宋_GB2312" w:eastAsia="仿宋_GB2312"/>
          <w:sz w:val="32"/>
          <w:szCs w:val="32"/>
        </w:rPr>
      </w:pPr>
      <w:r>
        <w:rPr>
          <w:rFonts w:hint="eastAsia" w:ascii="仿宋_GB2312" w:eastAsia="仿宋_GB2312"/>
          <w:sz w:val="32"/>
          <w:szCs w:val="32"/>
        </w:rPr>
        <w:br w:type="page"/>
      </w:r>
    </w:p>
    <w:p w14:paraId="5E064293">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经济学</w:t>
      </w:r>
    </w:p>
    <w:p w14:paraId="3134E4A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*1.“十五五”时期重庆经济社会发展面临的机遇与挑战研究</w:t>
      </w:r>
    </w:p>
    <w:p w14:paraId="5535DAE6">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*2.“十五五”时期重庆经济社会发展的目标任务研究</w:t>
      </w:r>
    </w:p>
    <w:p w14:paraId="0E1B94C8">
      <w:pPr>
        <w:spacing w:line="600" w:lineRule="exact"/>
        <w:ind w:firstLine="0" w:firstLineChars="0"/>
        <w:rPr>
          <w:rFonts w:hint="default" w:ascii="Times New Roman" w:hAnsi="Times New Roman" w:eastAsia="方正仿宋_GBK" w:cs="Times New Roman"/>
          <w:w w:val="95"/>
          <w:sz w:val="32"/>
          <w:szCs w:val="32"/>
        </w:rPr>
      </w:pPr>
      <w:r>
        <w:rPr>
          <w:rFonts w:hint="default" w:ascii="Times New Roman" w:hAnsi="Times New Roman" w:eastAsia="方正仿宋_GBK" w:cs="Times New Roman"/>
          <w:w w:val="95"/>
          <w:sz w:val="32"/>
          <w:szCs w:val="32"/>
        </w:rPr>
        <w:t>*3.成渝地区双城经济圈加快构建世界级先进制造业集群体系研究</w:t>
      </w:r>
    </w:p>
    <w:p w14:paraId="53276D5C">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*4.成渝地区双城经济圈要素市场化配置研究</w:t>
      </w:r>
    </w:p>
    <w:p w14:paraId="2A9B3EC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*5.重庆服务融入全国统一大市场建设与国内大循环研究</w:t>
      </w:r>
    </w:p>
    <w:p w14:paraId="20C5639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*6.西部陆海新通道提质建设研究</w:t>
      </w:r>
    </w:p>
    <w:p w14:paraId="4F8B64C3">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*7.重庆建设国际消费中心城市研究</w:t>
      </w:r>
    </w:p>
    <w:p w14:paraId="31A567CE">
      <w:pPr>
        <w:spacing w:line="600" w:lineRule="exact"/>
        <w:ind w:firstLine="0" w:firstLineChars="0"/>
        <w:rPr>
          <w:rFonts w:hint="default" w:ascii="Times New Roman" w:hAnsi="Times New Roman" w:eastAsia="方正仿宋_GBK" w:cs="Times New Roman"/>
          <w:w w:val="95"/>
          <w:sz w:val="32"/>
          <w:szCs w:val="32"/>
        </w:rPr>
      </w:pPr>
      <w:r>
        <w:rPr>
          <w:rFonts w:hint="default" w:ascii="Times New Roman" w:hAnsi="Times New Roman" w:eastAsia="方正仿宋_GBK" w:cs="Times New Roman"/>
          <w:w w:val="95"/>
          <w:sz w:val="32"/>
          <w:szCs w:val="32"/>
        </w:rPr>
        <w:t>8.中国式现代化进程中的基本公共服务均等化与共同富裕关系研究</w:t>
      </w:r>
    </w:p>
    <w:p w14:paraId="318C10F2">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9.重庆推进新型城镇化研究</w:t>
      </w:r>
    </w:p>
    <w:p w14:paraId="6572D5D9">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10.重庆推动农村一二三产</w:t>
      </w:r>
      <w:r>
        <w:rPr>
          <w:rFonts w:hint="default" w:ascii="Times New Roman" w:hAnsi="Times New Roman" w:eastAsia="方正仿宋_GBK" w:cs="Times New Roman"/>
          <w:color w:val="000000" w:themeColor="text1"/>
          <w:sz w:val="32"/>
          <w:szCs w:val="32"/>
          <w14:textFill>
            <w14:solidFill>
              <w14:schemeClr w14:val="tx1"/>
            </w14:solidFill>
          </w14:textFill>
        </w:rPr>
        <w:t>业深度</w:t>
      </w:r>
      <w:r>
        <w:rPr>
          <w:rFonts w:hint="default" w:ascii="Times New Roman" w:hAnsi="Times New Roman" w:eastAsia="方正仿宋_GBK" w:cs="Times New Roman"/>
          <w:sz w:val="32"/>
          <w:szCs w:val="32"/>
        </w:rPr>
        <w:t>融合发展研究</w:t>
      </w:r>
    </w:p>
    <w:p w14:paraId="0182E00B">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11.重庆粮食生产与安全保障研究</w:t>
      </w:r>
    </w:p>
    <w:p w14:paraId="14D9C34A">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12.重庆建设城乡融合乡村振兴示范区研究</w:t>
      </w:r>
    </w:p>
    <w:p w14:paraId="1EF5D8D6">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13.重庆促进小农户与现代农业有机衔接的实践模式研究</w:t>
      </w:r>
    </w:p>
    <w:p w14:paraId="588C4456">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14.重庆县域经济特色化发展路径与政策支持研究</w:t>
      </w:r>
    </w:p>
    <w:p w14:paraId="5EC74D85">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15.重庆银发经济发展潜力与推进策略研究</w:t>
      </w:r>
    </w:p>
    <w:p w14:paraId="0125B7B1">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16.重庆打造民营经济发展高地研究</w:t>
      </w:r>
    </w:p>
    <w:p w14:paraId="1F04BD0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17.重庆做大做强“33618”现代制造业集群体系研究</w:t>
      </w:r>
    </w:p>
    <w:p w14:paraId="13D5A9A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18.重庆以“人工智能+”赋能实体经济的路径研究</w:t>
      </w:r>
    </w:p>
    <w:p w14:paraId="06DB288B">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19.重庆构建低空经济产业集群研究</w:t>
      </w:r>
    </w:p>
    <w:p w14:paraId="20AF160B">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20.重庆布局发展6G产业的路径研究</w:t>
      </w:r>
    </w:p>
    <w:p w14:paraId="77ED6AA6">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21.重庆布局发展未来产业的路径研究</w:t>
      </w:r>
    </w:p>
    <w:p w14:paraId="6A216D85">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22.重庆促进服务消费高质量发展研究</w:t>
      </w:r>
    </w:p>
    <w:p w14:paraId="1F73740A">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23.重庆促进消费与产业联动升级研究</w:t>
      </w:r>
    </w:p>
    <w:p w14:paraId="2B376C9D">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24.城市更新对农业转移人口市民化的影响研究</w:t>
      </w:r>
    </w:p>
    <w:p w14:paraId="084E99BB">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25.人工智能发展对重庆大学生就业的影响研究</w:t>
      </w:r>
    </w:p>
    <w:p w14:paraId="4A6C547A">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26.重庆制造企业数字化转型研究</w:t>
      </w:r>
    </w:p>
    <w:p w14:paraId="38F1B957">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27.重庆构建绿色安全高效智慧新型能源体系研究</w:t>
      </w:r>
    </w:p>
    <w:p w14:paraId="2C602376">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28.重庆对外贸易高质量发展研究</w:t>
      </w:r>
    </w:p>
    <w:p w14:paraId="7F3D2C12">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29.重庆专精特新中小企业自生能力提升研究</w:t>
      </w:r>
    </w:p>
    <w:p w14:paraId="39A8D578">
      <w:pPr>
        <w:spacing w:line="600" w:lineRule="exact"/>
        <w:ind w:firstLine="0" w:firstLineChars="0"/>
        <w:jc w:val="left"/>
        <w:rPr>
          <w:rFonts w:hint="default" w:ascii="Times New Roman" w:hAnsi="Times New Roman" w:eastAsia="方正仿宋_GBK" w:cs="Times New Roman"/>
          <w:color w:val="000000" w:themeColor="text1"/>
          <w:w w:val="98"/>
          <w:sz w:val="32"/>
          <w:szCs w:val="32"/>
          <w14:textFill>
            <w14:solidFill>
              <w14:schemeClr w14:val="tx1"/>
            </w14:solidFill>
          </w14:textFill>
        </w:rPr>
      </w:pPr>
      <w:r>
        <w:rPr>
          <w:rFonts w:hint="default" w:ascii="Times New Roman" w:hAnsi="Times New Roman" w:eastAsia="方正仿宋_GBK" w:cs="Times New Roman"/>
          <w:sz w:val="32"/>
          <w:szCs w:val="32"/>
        </w:rPr>
        <w:t>30.</w:t>
      </w:r>
      <w:r>
        <w:rPr>
          <w:rFonts w:hint="default" w:ascii="Times New Roman" w:hAnsi="Times New Roman" w:eastAsia="方正仿宋_GBK" w:cs="Times New Roman"/>
          <w:color w:val="000000" w:themeColor="text1"/>
          <w:w w:val="98"/>
          <w:sz w:val="32"/>
          <w:szCs w:val="32"/>
          <w14:textFill>
            <w14:solidFill>
              <w14:schemeClr w14:val="tx1"/>
            </w14:solidFill>
          </w14:textFill>
        </w:rPr>
        <w:t>重庆推动现代服务业与先进制造业深度融合的机制与路径研究</w:t>
      </w:r>
    </w:p>
    <w:p w14:paraId="1D123B88">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31.重庆推动现代服务业与现代农业深度融合的机制与路径研究</w:t>
      </w:r>
    </w:p>
    <w:p w14:paraId="5F828933">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32.重庆扩大服务消费潜力的重点领域与政策支持研究</w:t>
      </w:r>
    </w:p>
    <w:p w14:paraId="2DD65D98">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33.重庆数字贸易创新发展研究</w:t>
      </w:r>
    </w:p>
    <w:p w14:paraId="13D1518F">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34.重庆完善农业社会化服务体系研究</w:t>
      </w:r>
    </w:p>
    <w:p w14:paraId="68D0B64F">
      <w:pPr>
        <w:spacing w:line="600" w:lineRule="exact"/>
        <w:ind w:firstLine="0" w:firstLineChars="0"/>
        <w:rPr>
          <w:rFonts w:ascii="仿宋" w:hAnsi="仿宋" w:eastAsia="仿宋" w:cs="仿宋"/>
          <w:color w:val="333333"/>
          <w:sz w:val="32"/>
          <w:szCs w:val="32"/>
          <w:shd w:val="clear" w:color="auto" w:fill="FFFFFF"/>
        </w:rPr>
      </w:pPr>
      <w:r>
        <w:rPr>
          <w:rFonts w:hint="default" w:ascii="Times New Roman" w:hAnsi="Times New Roman" w:eastAsia="方正仿宋_GBK" w:cs="Times New Roman"/>
          <w:color w:val="000000" w:themeColor="text1"/>
          <w:sz w:val="32"/>
          <w:szCs w:val="32"/>
          <w14:textFill>
            <w14:solidFill>
              <w14:schemeClr w14:val="tx1"/>
            </w14:solidFill>
          </w14:textFill>
        </w:rPr>
        <w:t>35.重庆绿色消费激励政策与公众参与机制研究</w:t>
      </w:r>
      <w:r>
        <w:rPr>
          <w:rFonts w:hint="eastAsia" w:ascii="仿宋" w:hAnsi="仿宋" w:eastAsia="仿宋" w:cs="仿宋"/>
          <w:color w:val="333333"/>
          <w:sz w:val="32"/>
          <w:szCs w:val="32"/>
          <w:shd w:val="clear" w:color="auto" w:fill="FFFFFF"/>
        </w:rPr>
        <w:br w:type="page"/>
      </w:r>
    </w:p>
    <w:p w14:paraId="29EED3A3">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bookmarkStart w:id="2" w:name="_Toc60086859"/>
      <w:r>
        <w:rPr>
          <w:rFonts w:hint="eastAsia" w:ascii="方正黑体_GBK" w:hAnsi="黑体" w:eastAsia="方正黑体_GBK" w:cs="宋体"/>
          <w:bCs/>
          <w:color w:val="000000" w:themeColor="text1"/>
          <w:kern w:val="0"/>
          <w:sz w:val="32"/>
          <w:szCs w:val="32"/>
          <w14:textFill>
            <w14:solidFill>
              <w14:schemeClr w14:val="tx1"/>
            </w14:solidFill>
          </w14:textFill>
        </w:rPr>
        <w:t>统计学</w:t>
      </w:r>
      <w:bookmarkEnd w:id="2"/>
    </w:p>
    <w:p w14:paraId="4A39CD03">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*1.重庆企业“新质”资产的测度与发展路径研究</w:t>
      </w:r>
    </w:p>
    <w:p w14:paraId="267AB9CB">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*2.重庆“33618”现代制造业产业集群协同效应测度研究</w:t>
      </w:r>
    </w:p>
    <w:p w14:paraId="4D366215">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*3.重庆现代制造业集群人才需求与供给匹配度的统计研究</w:t>
      </w:r>
    </w:p>
    <w:p w14:paraId="3A5DA874">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4.重庆数字技术融入制造业产业链的效应测度研究</w:t>
      </w:r>
    </w:p>
    <w:p w14:paraId="36144867">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5.重庆数据要素参与分配的测度及政策推进研究</w:t>
      </w:r>
    </w:p>
    <w:p w14:paraId="432A5E3A">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6.重庆老旧社区智慧化指标评价与改造路径研究</w:t>
      </w:r>
    </w:p>
    <w:p w14:paraId="4B6DA37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7.重庆消费韧性的测度与影响因素研究</w:t>
      </w:r>
    </w:p>
    <w:p w14:paraId="48262377">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8.重庆制造业关键产业链供应链韧性评估与风险预警研究</w:t>
      </w:r>
    </w:p>
    <w:p w14:paraId="7A2B6E62">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9.低碳城市政策的健康效应评估研究</w:t>
      </w:r>
    </w:p>
    <w:p w14:paraId="6F36A3DA">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10.人工智能大模型数据安全风险的统计测度</w:t>
      </w:r>
    </w:p>
    <w:p w14:paraId="1E38E4F3">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11.重庆数实融合的测度与影响因素研究</w:t>
      </w:r>
    </w:p>
    <w:p w14:paraId="07B3F068">
      <w:pPr>
        <w:spacing w:line="600" w:lineRule="exact"/>
        <w:ind w:left="502" w:hanging="502" w:hangingChars="157"/>
        <w:rPr>
          <w:rFonts w:hint="default" w:ascii="Times New Roman" w:hAnsi="Times New Roman" w:eastAsia="方正仿宋_GBK" w:cs="Times New Roman"/>
          <w:sz w:val="32"/>
          <w:szCs w:val="32"/>
        </w:rPr>
      </w:pPr>
    </w:p>
    <w:p w14:paraId="1D1A8D1E">
      <w:pPr>
        <w:widowControl w:val="0"/>
        <w:spacing w:line="600" w:lineRule="exact"/>
        <w:ind w:firstLine="0" w:firstLineChars="0"/>
        <w:rPr>
          <w:rFonts w:hint="default" w:ascii="Times New Roman" w:hAnsi="Times New Roman" w:eastAsia="方正仿宋_GBK" w:cs="Times New Roman"/>
          <w:color w:val="000000" w:themeColor="text1"/>
          <w:kern w:val="0"/>
          <w:sz w:val="32"/>
          <w:szCs w:val="32"/>
          <w14:textFill>
            <w14:solidFill>
              <w14:schemeClr w14:val="tx1"/>
            </w14:solidFill>
          </w14:textFill>
        </w:rPr>
        <w:sectPr>
          <w:pgSz w:w="11906" w:h="16838"/>
          <w:pgMar w:top="1985" w:right="1446" w:bottom="1644" w:left="1446" w:header="851" w:footer="992" w:gutter="0"/>
          <w:cols w:space="425" w:num="1"/>
          <w:docGrid w:type="lines" w:linePitch="312" w:charSpace="0"/>
        </w:sectPr>
      </w:pPr>
    </w:p>
    <w:p w14:paraId="1EA46861">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管理学</w:t>
      </w:r>
    </w:p>
    <w:p w14:paraId="244518B9">
      <w:pPr>
        <w:spacing w:line="600" w:lineRule="exact"/>
        <w:ind w:firstLine="0" w:firstLineChars="0"/>
        <w:rPr>
          <w:rFonts w:hint="default" w:ascii="Times New Roman" w:hAnsi="Times New Roman" w:eastAsia="方正仿宋_GBK" w:cs="Times New Roman"/>
          <w:w w:val="95"/>
          <w:sz w:val="32"/>
          <w:szCs w:val="32"/>
        </w:rPr>
      </w:pPr>
      <w:r>
        <w:rPr>
          <w:rFonts w:hint="default" w:ascii="Times New Roman" w:hAnsi="Times New Roman" w:eastAsia="方正仿宋_GBK" w:cs="Times New Roman"/>
          <w:w w:val="95"/>
          <w:sz w:val="32"/>
          <w:szCs w:val="32"/>
        </w:rPr>
        <w:t>*1.“十五五”时期现代化产业体系建设对能源发展的影响及对策研究</w:t>
      </w:r>
    </w:p>
    <w:p w14:paraId="09D22FA0">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*2.未来产业企业技术创新与商业模式创新协同研究</w:t>
      </w:r>
    </w:p>
    <w:p w14:paraId="5F79CC5D">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*3.培育壮大耐心资本的制度与政策研究</w:t>
      </w:r>
    </w:p>
    <w:p w14:paraId="5EA1F150">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*4.人工智能赋能企业供应链网络研究</w:t>
      </w:r>
    </w:p>
    <w:p w14:paraId="05B368A0">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*5.四链融合驱动企业关键核心技术突破研究</w:t>
      </w:r>
    </w:p>
    <w:p w14:paraId="4EC17E71">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*6.成渝地区双城经济圈区域协同创新体系整体效能提升研究</w:t>
      </w:r>
    </w:p>
    <w:p w14:paraId="701C975B">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*7.重庆推动民营经济创新发展研究</w:t>
      </w:r>
    </w:p>
    <w:p w14:paraId="13E763E4">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*8.重庆构建绿色低碳发展新体制新平台新机制研究</w:t>
      </w:r>
    </w:p>
    <w:p w14:paraId="2EEFCF9C">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*9.数字赋能重庆公共服务合作生产研究</w:t>
      </w:r>
    </w:p>
    <w:p w14:paraId="40FC6CD6">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*10.低空经济赋能重庆县域城乡物流数智化发展研究</w:t>
      </w:r>
    </w:p>
    <w:p w14:paraId="2EE82D6D">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*11.重庆深入推进强村富民综合改革研究</w:t>
      </w:r>
    </w:p>
    <w:p w14:paraId="1C2386B7">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*12.重庆粮食生产与安全保障研究</w:t>
      </w:r>
    </w:p>
    <w:p w14:paraId="19F3E556">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*13.重庆民营企业在新能源汽车产业链中的配套发展研究</w:t>
      </w:r>
    </w:p>
    <w:p w14:paraId="3CB1D954">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*14.重庆迭代实施乡</w:t>
      </w:r>
      <w:bookmarkStart w:id="3" w:name="OLE_LINK1"/>
      <w:r>
        <w:rPr>
          <w:rFonts w:hint="default" w:ascii="Times New Roman" w:hAnsi="Times New Roman" w:eastAsia="方正仿宋_GBK" w:cs="Times New Roman"/>
          <w:sz w:val="32"/>
          <w:szCs w:val="32"/>
        </w:rPr>
        <w:t>村振兴“四千行动”</w:t>
      </w:r>
      <w:bookmarkEnd w:id="3"/>
      <w:r>
        <w:rPr>
          <w:rFonts w:hint="default" w:ascii="Times New Roman" w:hAnsi="Times New Roman" w:eastAsia="方正仿宋_GBK" w:cs="Times New Roman"/>
          <w:sz w:val="32"/>
          <w:szCs w:val="32"/>
        </w:rPr>
        <w:t>研究</w:t>
      </w:r>
    </w:p>
    <w:p w14:paraId="0DEB3121">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15.新就业形态劳动者权益保障研究</w:t>
      </w:r>
    </w:p>
    <w:p w14:paraId="12C868A7">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16.人工智能赋能成渝地区双城经济圈绿色低碳转型研究</w:t>
      </w:r>
    </w:p>
    <w:p w14:paraId="2D6381D8">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17.重庆对外贸易高质量发展研究</w:t>
      </w:r>
    </w:p>
    <w:p w14:paraId="5D7917A1">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18.重庆高标准建设国家服务外包示范城市研究</w:t>
      </w:r>
    </w:p>
    <w:p w14:paraId="098C655E">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19.承接东部民营企业向重庆转移的政策与环境研究</w:t>
      </w:r>
    </w:p>
    <w:p w14:paraId="6A196D82">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20.人工智能赋能政府监管研究</w:t>
      </w:r>
    </w:p>
    <w:p w14:paraId="6C8B146D">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21.重庆民营企业数字技术运用与转型升级研究</w:t>
      </w:r>
    </w:p>
    <w:p w14:paraId="2E9B91A2">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22.重庆推动低空经济高质量发展的路径研究</w:t>
      </w:r>
    </w:p>
    <w:p w14:paraId="212ECD65">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23.重庆建设低空经济走廊的路径研究</w:t>
      </w:r>
    </w:p>
    <w:p w14:paraId="1B8A517E">
      <w:pPr>
        <w:spacing w:line="600" w:lineRule="exact"/>
        <w:ind w:firstLine="0" w:firstLineChars="0"/>
        <w:rPr>
          <w:rFonts w:hint="default" w:ascii="Times New Roman" w:hAnsi="Times New Roman" w:eastAsia="方正仿宋_GBK" w:cs="Times New Roman"/>
          <w:w w:val="95"/>
          <w:sz w:val="32"/>
          <w:szCs w:val="32"/>
        </w:rPr>
      </w:pPr>
      <w:r>
        <w:rPr>
          <w:rFonts w:hint="default" w:ascii="Times New Roman" w:hAnsi="Times New Roman" w:eastAsia="方正仿宋_GBK" w:cs="Times New Roman"/>
          <w:w w:val="95"/>
          <w:sz w:val="32"/>
          <w:szCs w:val="32"/>
        </w:rPr>
        <w:t>24.重庆物流业与制造业深度融合背景下产业链韧性提升路径研究</w:t>
      </w:r>
    </w:p>
    <w:p w14:paraId="24651249">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25.重庆推进数字赋能超大城市现代化治理研究</w:t>
      </w:r>
    </w:p>
    <w:p w14:paraId="547B473F">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26.重庆智慧农业数据资产价值研究</w:t>
      </w:r>
    </w:p>
    <w:p w14:paraId="186915BA">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27.数字赋能重庆生态农产品价值共创研究</w:t>
      </w:r>
    </w:p>
    <w:p w14:paraId="1273523F">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28.重庆自贸试验区提质升级研究</w:t>
      </w:r>
    </w:p>
    <w:p w14:paraId="6D26EDE9">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29.重庆高校毕业生“慢就业”与就业适应性研究</w:t>
      </w:r>
    </w:p>
    <w:p w14:paraId="0981F83D">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30.人工智能对重庆劳动力市场结构性变迁的影响研究</w:t>
      </w:r>
    </w:p>
    <w:p w14:paraId="5A1CE18C">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31.人工智能赋能重庆医疗服务体系建设研究</w:t>
      </w:r>
    </w:p>
    <w:p w14:paraId="2105AA34">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32.重庆发展乡村旅游研究</w:t>
      </w:r>
    </w:p>
    <w:p w14:paraId="715F4768">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33.重庆“教育、科技、人才”协同融合发展研究</w:t>
      </w:r>
    </w:p>
    <w:p w14:paraId="13968330">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34.重庆加快促进制造业数智化转型研究</w:t>
      </w:r>
    </w:p>
    <w:p w14:paraId="3CCA4A50">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35.重庆基础研究投入机制与前沿领域布局优化研究</w:t>
      </w:r>
    </w:p>
    <w:p w14:paraId="3791C664">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36.重庆参与建设全国一体化数据市场的定位与策略研究</w:t>
      </w:r>
    </w:p>
    <w:p w14:paraId="6E74B04F">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37.人工智能驱动科研范式变革与创新效率提升研究</w:t>
      </w:r>
    </w:p>
    <w:p w14:paraId="0D9CB991">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38.重庆促进平台经济规范健康持续发展的监管机制研究</w:t>
      </w:r>
    </w:p>
    <w:p w14:paraId="7D3D3BE8">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39.重庆养老事业与产业协同发展政策创新研究</w:t>
      </w:r>
    </w:p>
    <w:p w14:paraId="211A1A6C">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40.重庆干部队伍适应和推动现代化建设的能力提升研究</w:t>
      </w:r>
    </w:p>
    <w:p w14:paraId="1499A148">
      <w:pPr>
        <w:spacing w:line="600" w:lineRule="exact"/>
        <w:ind w:firstLine="0" w:firstLineChars="0"/>
        <w:rPr>
          <w:rFonts w:ascii="仿宋_GB2312" w:eastAsia="仿宋_GB2312"/>
          <w:color w:val="000000" w:themeColor="text1"/>
          <w:sz w:val="32"/>
          <w:szCs w:val="32"/>
          <w14:textFill>
            <w14:solidFill>
              <w14:schemeClr w14:val="tx1"/>
            </w14:solidFill>
          </w14:textFill>
        </w:rPr>
      </w:pPr>
    </w:p>
    <w:p w14:paraId="26C95B60">
      <w:pPr>
        <w:spacing w:line="600" w:lineRule="exact"/>
        <w:ind w:firstLine="0" w:firstLineChars="0"/>
        <w:rPr>
          <w:rFonts w:ascii="仿宋_GB2312" w:eastAsia="仿宋_GB2312"/>
          <w:color w:val="000000" w:themeColor="text1"/>
          <w:sz w:val="32"/>
          <w:szCs w:val="32"/>
          <w14:textFill>
            <w14:solidFill>
              <w14:schemeClr w14:val="tx1"/>
            </w14:solidFill>
          </w14:textFill>
        </w:rPr>
      </w:pPr>
    </w:p>
    <w:p w14:paraId="06205E68">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bookmarkStart w:id="4" w:name="_Toc60086861"/>
      <w:r>
        <w:rPr>
          <w:rFonts w:hint="eastAsia" w:ascii="方正黑体_GBK" w:hAnsi="黑体" w:eastAsia="方正黑体_GBK" w:cs="宋体"/>
          <w:bCs/>
          <w:color w:val="000000" w:themeColor="text1"/>
          <w:kern w:val="0"/>
          <w:sz w:val="32"/>
          <w:szCs w:val="32"/>
          <w14:textFill>
            <w14:solidFill>
              <w14:schemeClr w14:val="tx1"/>
            </w14:solidFill>
          </w14:textFill>
        </w:rPr>
        <w:t>法学</w:t>
      </w:r>
      <w:bookmarkEnd w:id="4"/>
    </w:p>
    <w:p w14:paraId="22D26093">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*1.法律草案合宪性审查问题研究</w:t>
      </w:r>
    </w:p>
    <w:p w14:paraId="7BCFA1FE">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*2.网络暴力中的极端现象及刑法规制研究</w:t>
      </w:r>
    </w:p>
    <w:p w14:paraId="67868F1F">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*3.数字时代知识产权法基本范畴体系创新研究</w:t>
      </w:r>
    </w:p>
    <w:p w14:paraId="302D9039">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*4.数智赋能司法裁判的空间及保障研究</w:t>
      </w:r>
    </w:p>
    <w:p w14:paraId="5F02AD20">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*5.人工智能侵权风险与法律应对研究</w:t>
      </w:r>
    </w:p>
    <w:p w14:paraId="04B89D57">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*6.数字时代经济制裁的合法性边界研究</w:t>
      </w:r>
    </w:p>
    <w:p w14:paraId="3978B79F">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*7.老龄社会背景下数字治理与法治研究</w:t>
      </w:r>
    </w:p>
    <w:p w14:paraId="67291E42">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*8.跨境数据流通的法治体系研究</w:t>
      </w:r>
    </w:p>
    <w:p w14:paraId="2F7ABF77">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*9.成渝地区双城经济圈地理标志法律保护协同机制研究</w:t>
      </w:r>
    </w:p>
    <w:p w14:paraId="13100AE1">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*10.重庆超大城市治理法治化路径研究</w:t>
      </w:r>
    </w:p>
    <w:p w14:paraId="697E1AA0">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*11.仲裁服务护航重庆企业“出海”研究</w:t>
      </w:r>
    </w:p>
    <w:p w14:paraId="25D05181">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12.新就业形态劳动法研究</w:t>
      </w:r>
    </w:p>
    <w:p w14:paraId="43D3927C">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13.司法鉴定决策中人工智能技术应用研究</w:t>
      </w:r>
    </w:p>
    <w:p w14:paraId="26A789F9">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14.全国统一算力大市场的竞争法研究</w:t>
      </w:r>
    </w:p>
    <w:p w14:paraId="0464D0A8">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15.面向生态文明建设的生态修复法律规制研究</w:t>
      </w:r>
    </w:p>
    <w:p w14:paraId="2AA55D2D">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16.数字生态系统反垄断法研究</w:t>
      </w:r>
    </w:p>
    <w:p w14:paraId="24F45E44">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17.低空经济高质量发展的法治保障研究</w:t>
      </w:r>
    </w:p>
    <w:p w14:paraId="4DD12527">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18.人工智能合成内容法律责任与规制机制研究</w:t>
      </w:r>
    </w:p>
    <w:p w14:paraId="6B8B29D3">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19.算法不正当竞争行为的责任认定与法律规制研究</w:t>
      </w:r>
    </w:p>
    <w:p w14:paraId="54D069A1">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20.低空飞行安全数字监管与法治保障研究</w:t>
      </w:r>
    </w:p>
    <w:p w14:paraId="5A712791">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21.数字技术推动刑事诉讼程序改革的法治研究</w:t>
      </w:r>
    </w:p>
    <w:p w14:paraId="4207DCF6">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22.重庆新能源汽车标准必要专利池构建研究</w:t>
      </w:r>
    </w:p>
    <w:p w14:paraId="42B4A9CD">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23.重庆深化乡镇（街道）综合行政执法改革研究</w:t>
      </w:r>
    </w:p>
    <w:p w14:paraId="27E2EE8C">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24.重庆数字经济示范区数据主权与跨境流动安全风险防范研究</w:t>
      </w:r>
    </w:p>
    <w:p w14:paraId="32C98A78">
      <w:pPr>
        <w:spacing w:line="600" w:lineRule="exact"/>
        <w:ind w:left="502" w:hanging="502" w:hangingChars="157"/>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25.重庆促进平台经济规范健康持续发展的监管机制研究</w:t>
      </w:r>
    </w:p>
    <w:p w14:paraId="747E2FDB">
      <w:pPr>
        <w:spacing w:line="600" w:lineRule="exact"/>
        <w:ind w:left="502" w:hanging="502" w:hangingChars="157"/>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26.重庆超大城市现代化治理法治保障研究</w:t>
      </w:r>
    </w:p>
    <w:p w14:paraId="6ABD5957">
      <w:pPr>
        <w:spacing w:line="600" w:lineRule="exact"/>
        <w:ind w:left="502" w:hanging="502" w:hangingChars="157"/>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27.成渝地区双城经济圈法治一体化研究</w:t>
      </w:r>
    </w:p>
    <w:p w14:paraId="6620657A">
      <w:pPr>
        <w:spacing w:line="600" w:lineRule="exact"/>
        <w:ind w:left="502" w:hanging="502" w:hangingChars="157"/>
        <w:rPr>
          <w:rFonts w:ascii="仿宋_GB2312" w:eastAsia="仿宋_GB2312"/>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28.西部陆海新通道涉外法律风险防范研究</w:t>
      </w:r>
      <w:r>
        <w:rPr>
          <w:rFonts w:ascii="仿宋_GB2312" w:eastAsia="仿宋_GB2312"/>
          <w:sz w:val="32"/>
          <w:szCs w:val="32"/>
        </w:rPr>
        <w:br w:type="page"/>
      </w:r>
    </w:p>
    <w:p w14:paraId="03E1E871">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bookmarkStart w:id="5" w:name="_Toc60086862"/>
      <w:r>
        <w:rPr>
          <w:rFonts w:hint="eastAsia" w:ascii="方正黑体_GBK" w:hAnsi="黑体" w:eastAsia="方正黑体_GBK" w:cs="宋体"/>
          <w:bCs/>
          <w:color w:val="000000" w:themeColor="text1"/>
          <w:kern w:val="0"/>
          <w:sz w:val="32"/>
          <w:szCs w:val="32"/>
          <w14:textFill>
            <w14:solidFill>
              <w14:schemeClr w14:val="tx1"/>
            </w14:solidFill>
          </w14:textFill>
        </w:rPr>
        <w:t>社会学</w:t>
      </w:r>
      <w:bookmarkEnd w:id="5"/>
    </w:p>
    <w:p w14:paraId="0C9EF8D7">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*1.重大政策、重大项目、重大生产力布局就业影响评估指标体系及机制研究</w:t>
      </w:r>
    </w:p>
    <w:p w14:paraId="49BD1603">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*2.新发展社会学视角下乡村全面振兴研究</w:t>
      </w:r>
    </w:p>
    <w:p w14:paraId="76025CFC">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*3.脱贫地区低收入人口帮扶研究</w:t>
      </w:r>
    </w:p>
    <w:p w14:paraId="53B61EF7">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*4.超大城市更新背景下社区服务研究</w:t>
      </w:r>
    </w:p>
    <w:p w14:paraId="0CCEC778">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*5.多层次保障住房对居民消费的影响研究</w:t>
      </w:r>
    </w:p>
    <w:p w14:paraId="73C702FC">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*6.基于数字干预的社区健康管理研究</w:t>
      </w:r>
    </w:p>
    <w:p w14:paraId="34CA66D2">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*7.极端社会事件的社区预警机制研究</w:t>
      </w:r>
    </w:p>
    <w:p w14:paraId="53D76812">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*8.数智化背景下青年群体的社会心理、行为特点及形成机制研究</w:t>
      </w:r>
    </w:p>
    <w:p w14:paraId="09C055F5">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*9.重庆青少年健康管理的社会支持体系研究</w:t>
      </w:r>
    </w:p>
    <w:p w14:paraId="32AE3C32">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*10.数字抚育对农村留守儿童发展的影响研究</w:t>
      </w:r>
    </w:p>
    <w:p w14:paraId="614819BC">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*11.重庆新就业群体的社会工作服务体系研究</w:t>
      </w:r>
    </w:p>
    <w:p w14:paraId="26103DC1">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12.重庆乡村治理数字化转型研究</w:t>
      </w:r>
    </w:p>
    <w:p w14:paraId="581DE3A3">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13.重庆非连续参保灵活就业人员社会保障研究</w:t>
      </w:r>
    </w:p>
    <w:p w14:paraId="0DB2CBD8">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14.重庆普惠托育服务的社区嵌入研究</w:t>
      </w:r>
    </w:p>
    <w:p w14:paraId="1F42D8F7">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15.高额彩礼对农村青年婚育的影响研究</w:t>
      </w:r>
    </w:p>
    <w:p w14:paraId="628A37BF">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16.重庆保障性住房社区共同体培育路径研究</w:t>
      </w:r>
    </w:p>
    <w:p w14:paraId="6B89872E">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17.重庆现代农业绿色发展的社会动力机制研究</w:t>
      </w:r>
    </w:p>
    <w:p w14:paraId="1613E607">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18.重庆健全多层次社会保障体系研究</w:t>
      </w:r>
    </w:p>
    <w:p w14:paraId="146C46D4">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19.重庆新就业群体城市化问题研究 </w:t>
      </w:r>
    </w:p>
    <w:p w14:paraId="18E5F3E8">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20.重庆农村社区养老服务网络构建与协同治理研究</w:t>
      </w:r>
    </w:p>
    <w:p w14:paraId="48CACA4C">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21.重庆促进各民族交往交流交融的实践研究</w:t>
      </w:r>
    </w:p>
    <w:p w14:paraId="26BF963C">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22.重庆建设统筹适配的农村养老服务体系研究</w:t>
      </w:r>
    </w:p>
    <w:p w14:paraId="2512F61A">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23.重庆构建就业友好型发展方式的路径研究</w:t>
      </w:r>
    </w:p>
    <w:p w14:paraId="637811BE">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24.重庆</w:t>
      </w:r>
      <w:bookmarkStart w:id="6" w:name="OLE_LINK2"/>
      <w:r>
        <w:rPr>
          <w:rFonts w:hint="default" w:ascii="Times New Roman" w:hAnsi="Times New Roman" w:eastAsia="方正仿宋_GBK" w:cs="Times New Roman"/>
          <w:color w:val="000000" w:themeColor="text1"/>
          <w:sz w:val="32"/>
          <w:szCs w:val="32"/>
          <w14:textFill>
            <w14:solidFill>
              <w14:schemeClr w14:val="tx1"/>
            </w14:solidFill>
          </w14:textFill>
        </w:rPr>
        <w:t>健全学校家庭社会协同育人机制研究</w:t>
      </w:r>
      <w:bookmarkEnd w:id="6"/>
    </w:p>
    <w:p w14:paraId="1EF3405C">
      <w:pPr>
        <w:spacing w:line="600" w:lineRule="exact"/>
        <w:ind w:left="502" w:hanging="502" w:hangingChars="157"/>
        <w:rPr>
          <w:rFonts w:ascii="仿宋_GB2312" w:hAnsi="Times New Roman" w:eastAsia="仿宋_GB2312" w:cs="Times New Roman"/>
          <w:sz w:val="32"/>
          <w:szCs w:val="32"/>
        </w:rPr>
      </w:pPr>
    </w:p>
    <w:p w14:paraId="74F8C49D">
      <w:pPr>
        <w:spacing w:line="600" w:lineRule="exact"/>
        <w:ind w:firstLine="199" w:firstLineChars="95"/>
        <w:rPr>
          <w:color w:val="000000" w:themeColor="text1"/>
          <w14:textFill>
            <w14:solidFill>
              <w14:schemeClr w14:val="tx1"/>
            </w14:solidFill>
          </w14:textFill>
        </w:rPr>
        <w:sectPr>
          <w:headerReference r:id="rId21" w:type="first"/>
          <w:footerReference r:id="rId24" w:type="first"/>
          <w:headerReference r:id="rId19" w:type="default"/>
          <w:footerReference r:id="rId22" w:type="default"/>
          <w:headerReference r:id="rId20" w:type="even"/>
          <w:footerReference r:id="rId23" w:type="even"/>
          <w:pgSz w:w="11906" w:h="16838"/>
          <w:pgMar w:top="1985" w:right="1446" w:bottom="1644" w:left="1446" w:header="851" w:footer="992" w:gutter="0"/>
          <w:cols w:space="425" w:num="1"/>
          <w:docGrid w:type="lines" w:linePitch="312" w:charSpace="0"/>
        </w:sectPr>
      </w:pPr>
    </w:p>
    <w:p w14:paraId="069BA7E9">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人口学</w:t>
      </w:r>
    </w:p>
    <w:p w14:paraId="1C854647">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*1.重庆“十五五”时期的人口问题研究</w:t>
      </w:r>
    </w:p>
    <w:p w14:paraId="3FE5C0D9">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*2.重庆市人口老龄化发展趋势与对策研究</w:t>
      </w:r>
    </w:p>
    <w:p w14:paraId="6C24215E">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*3.重庆推动农民工市民化质量提升研究</w:t>
      </w:r>
    </w:p>
    <w:p w14:paraId="4120F980">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4.重庆建立低收入人口常态化帮扶机制研究</w:t>
      </w:r>
    </w:p>
    <w:p w14:paraId="29108223">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5.重庆老年人口变动与医养服务资源协同适配研究</w:t>
      </w:r>
    </w:p>
    <w:p w14:paraId="795D3BFF">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6.人口变化新形势下的财政收支结构优化研究</w:t>
      </w:r>
    </w:p>
    <w:p w14:paraId="08D3AA30">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7.银发经济与老年人力资源开发研究</w:t>
      </w:r>
    </w:p>
    <w:p w14:paraId="3B34B35A">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8.人口负增长及其经济社会影响研究</w:t>
      </w:r>
    </w:p>
    <w:p w14:paraId="6FD15B35">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9.城市化发展中后期人口流迁研究</w:t>
      </w:r>
    </w:p>
    <w:p w14:paraId="4DA50673">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10.生育支持政策组合实施效果评价及优化策略研究</w:t>
      </w:r>
    </w:p>
    <w:p w14:paraId="729AAB3B">
      <w:pPr>
        <w:spacing w:line="600" w:lineRule="exact"/>
        <w:ind w:left="502" w:hanging="502" w:hangingChars="157"/>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11.成渝地区双城经济圈人口结构与产业协同发展研究</w:t>
      </w:r>
    </w:p>
    <w:p w14:paraId="4EF54FE7">
      <w:pPr>
        <w:widowControl w:val="0"/>
        <w:spacing w:line="600" w:lineRule="exact"/>
        <w:ind w:left="502" w:hanging="502" w:hangingChars="157"/>
        <w:rPr>
          <w:rFonts w:hint="default" w:ascii="Times New Roman" w:hAnsi="Times New Roman" w:eastAsia="方正仿宋_GBK" w:cs="Times New Roman"/>
          <w:color w:val="000000" w:themeColor="text1"/>
          <w:sz w:val="32"/>
          <w:szCs w:val="32"/>
          <w14:textFill>
            <w14:solidFill>
              <w14:schemeClr w14:val="tx1"/>
            </w14:solidFill>
          </w14:textFill>
        </w:rPr>
        <w:sectPr>
          <w:pgSz w:w="11906" w:h="16838"/>
          <w:pgMar w:top="1985" w:right="1446" w:bottom="1644" w:left="1446" w:header="851" w:footer="992" w:gutter="0"/>
          <w:cols w:space="425" w:num="1"/>
          <w:docGrid w:type="lines" w:linePitch="312" w:charSpace="0"/>
        </w:sectPr>
      </w:pPr>
    </w:p>
    <w:p w14:paraId="340740DD">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民族学</w:t>
      </w:r>
    </w:p>
    <w:p w14:paraId="15502000">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*1.数智赋能重庆民族地区高质量发展研究</w:t>
      </w:r>
    </w:p>
    <w:p w14:paraId="3DE85EF1">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*2.重庆民族地区和美乡村建设评价与路径优化研究</w:t>
      </w:r>
    </w:p>
    <w:p w14:paraId="168F0D35">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*3.提升重庆民族地区产业韧性的机制与路径研究</w:t>
      </w:r>
    </w:p>
    <w:p w14:paraId="08FA72F0">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4.重庆民族地区特色产业富民效应及提升策略研究</w:t>
      </w:r>
    </w:p>
    <w:p w14:paraId="0B181C03">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5.重庆民族地区小农经济现代化改造研究</w:t>
      </w:r>
    </w:p>
    <w:p w14:paraId="36F742C2">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6.重庆民族地区构建乡村治理共同体的路径研究</w:t>
      </w:r>
    </w:p>
    <w:p w14:paraId="46C8D1A3">
      <w:pPr>
        <w:spacing w:line="600" w:lineRule="exact"/>
        <w:ind w:firstLine="0" w:firstLineChars="0"/>
        <w:rPr>
          <w:rFonts w:hint="default" w:ascii="Times New Roman" w:hAnsi="Times New Roman" w:eastAsia="方正仿宋_GBK" w:cs="Times New Roman"/>
          <w:bCs/>
          <w:color w:val="000000" w:themeColor="text1"/>
          <w:kern w:val="0"/>
          <w:sz w:val="32"/>
          <w:szCs w:val="32"/>
          <w14:textFill>
            <w14:solidFill>
              <w14:schemeClr w14:val="tx1"/>
            </w14:solidFill>
          </w14:textFill>
        </w:rPr>
        <w:sectPr>
          <w:pgSz w:w="11906" w:h="16838"/>
          <w:pgMar w:top="1985" w:right="1446" w:bottom="1644" w:left="1446" w:header="851" w:footer="992" w:gutter="0"/>
          <w:cols w:space="425" w:num="1"/>
          <w:docGrid w:type="lines" w:linePitch="312" w:charSpace="0"/>
        </w:sectPr>
      </w:pPr>
      <w:r>
        <w:rPr>
          <w:rFonts w:hint="default" w:ascii="Times New Roman" w:hAnsi="Times New Roman" w:eastAsia="方正仿宋_GBK" w:cs="Times New Roman"/>
          <w:sz w:val="32"/>
          <w:szCs w:val="32"/>
        </w:rPr>
        <w:t>7.重庆民族地区“一老一小”服务保障研究</w:t>
      </w:r>
    </w:p>
    <w:p w14:paraId="211F26CB">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新闻与传播学</w:t>
      </w:r>
    </w:p>
    <w:p w14:paraId="432005A6">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*1.国际涉华虚假信息传播及应对策略研究</w:t>
      </w:r>
    </w:p>
    <w:p w14:paraId="3E858B38">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*2.地方国际传播机构专业化、多元化能力研究</w:t>
      </w:r>
    </w:p>
    <w:p w14:paraId="243ABBFC">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*3.智能媒体使用对青少年社会情感能力的影响研究</w:t>
      </w:r>
    </w:p>
    <w:p w14:paraId="7C4A87D0">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*4.基于多源数据信息的突发舆情风险预警及其治理研究</w:t>
      </w:r>
    </w:p>
    <w:p w14:paraId="52492B86">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*5.社交媒体虚假信息检测及治理研究</w:t>
      </w:r>
    </w:p>
    <w:p w14:paraId="5C17A259">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*6.主流媒体在地化传播力影响力提升研究</w:t>
      </w:r>
    </w:p>
    <w:p w14:paraId="11BC150A">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*7.沉浸式传播理论建构与路径研究</w:t>
      </w:r>
    </w:p>
    <w:p w14:paraId="777FD8E7">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*8.人工智能赋能重庆学术期刊高质量发展研究</w:t>
      </w:r>
    </w:p>
    <w:p w14:paraId="7EB0FF90">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*9.重庆区县融媒体中心传播力提升研究</w:t>
      </w:r>
    </w:p>
    <w:p w14:paraId="67493C02">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*10.提升重庆城市形象的策略研究</w:t>
      </w:r>
    </w:p>
    <w:p w14:paraId="7F900CF0">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11.创意产业和创意生态建设研究</w:t>
      </w:r>
    </w:p>
    <w:p w14:paraId="544D48D3">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12.微短剧全球传播机制与路径研究</w:t>
      </w:r>
    </w:p>
    <w:p w14:paraId="33EFA763">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13.人工智能背景下新闻传播人才培养研究</w:t>
      </w:r>
    </w:p>
    <w:p w14:paraId="0BF5478D">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14.数据要素嵌入与出版产业创新研究</w:t>
      </w:r>
    </w:p>
    <w:p w14:paraId="5BC6A3BE">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15.老年人数字成瘾的成因与治理研究</w:t>
      </w:r>
    </w:p>
    <w:p w14:paraId="6E84A0B7">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16.网络语言传播对学龄儿童发展的影响研究</w:t>
      </w:r>
    </w:p>
    <w:p w14:paraId="71166D83">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17.大模型时代重庆青年群体人机情感交互与伦理治理研究</w:t>
      </w:r>
    </w:p>
    <w:p w14:paraId="04741D20">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18.智能化背景下重庆乡村社会媒介化治理研究</w:t>
      </w:r>
    </w:p>
    <w:p w14:paraId="758E02B4">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19.重庆国际传播融媒栏目实践案例研究</w:t>
      </w:r>
    </w:p>
    <w:p w14:paraId="640AA86D">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20.重庆文化内涵和文化IP国际传播研究</w:t>
      </w:r>
    </w:p>
    <w:p w14:paraId="515F97A9">
      <w:pPr>
        <w:spacing w:line="600" w:lineRule="exact"/>
        <w:ind w:left="502" w:hanging="502" w:hangingChars="157"/>
        <w:rPr>
          <w:rFonts w:ascii="Times New Roman" w:hAnsi="Times New Roman" w:eastAsia="方正仿宋_GBK" w:cs="Times New Roman"/>
          <w:sz w:val="32"/>
          <w:szCs w:val="32"/>
        </w:rPr>
      </w:pPr>
    </w:p>
    <w:p w14:paraId="07EC5350">
      <w:pPr>
        <w:spacing w:line="600" w:lineRule="exact"/>
        <w:ind w:firstLine="304" w:firstLineChars="95"/>
        <w:rPr>
          <w:rFonts w:ascii="Times New Roman" w:hAnsi="Times New Roman" w:eastAsia="方正仿宋_GBK" w:cs="Times New Roman"/>
          <w:bCs/>
          <w:color w:val="000000" w:themeColor="text1"/>
          <w:kern w:val="0"/>
          <w:sz w:val="32"/>
          <w:szCs w:val="32"/>
          <w14:textFill>
            <w14:solidFill>
              <w14:schemeClr w14:val="tx1"/>
            </w14:solidFill>
          </w14:textFill>
        </w:rPr>
        <w:sectPr>
          <w:pgSz w:w="11906" w:h="16838"/>
          <w:pgMar w:top="1985" w:right="1446" w:bottom="1644" w:left="1446" w:header="851" w:footer="992" w:gutter="0"/>
          <w:cols w:space="425" w:num="1"/>
          <w:docGrid w:type="lines" w:linePitch="312" w:charSpace="0"/>
        </w:sectPr>
      </w:pPr>
    </w:p>
    <w:p w14:paraId="1044E541">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图书情报文献学</w:t>
      </w:r>
    </w:p>
    <w:p w14:paraId="3E1BA323">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*1.总体国家安全观视域下档案开放制度研究</w:t>
      </w:r>
    </w:p>
    <w:p w14:paraId="454E5C37">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*2.世界一流公共图书馆建设的理论与实践研究</w:t>
      </w:r>
    </w:p>
    <w:p w14:paraId="6A349666">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*3.数字化转型背景下图书馆治理能力现代化研究</w:t>
      </w:r>
    </w:p>
    <w:p w14:paraId="7E7AC0E2">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*4.面向治理现代化的档案工作研究</w:t>
      </w:r>
    </w:p>
    <w:p w14:paraId="4646ABA4">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*5.高校图书馆科研服务韧性测度研究</w:t>
      </w:r>
    </w:p>
    <w:p w14:paraId="20339111">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*6.档案数据确权问题研究</w:t>
      </w:r>
    </w:p>
    <w:p w14:paraId="7550EE86">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*7.档案数据价值链运行与优化研究</w:t>
      </w:r>
    </w:p>
    <w:p w14:paraId="3CDB711B">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*8.数字化转型的可信数据空间构建研究</w:t>
      </w:r>
    </w:p>
    <w:p w14:paraId="498EFE56">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9.档案数据要素治理研究</w:t>
      </w:r>
    </w:p>
    <w:p w14:paraId="0DC007C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10.信息成瘾行为的监测与管理机制研究</w:t>
      </w:r>
    </w:p>
    <w:p w14:paraId="1AF82628">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11.智能体赋能下的科技情报服务研究</w:t>
      </w:r>
    </w:p>
    <w:p w14:paraId="3CDC8879">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12.人工智能生成内容的真实性风险与档案治理研究</w:t>
      </w:r>
    </w:p>
    <w:p w14:paraId="736C6FC8">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13.档案数据价值链的生成机制与运行规律研究</w:t>
      </w:r>
    </w:p>
    <w:p w14:paraId="22094617">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14.智慧图书馆人工智能生成内容可信研究</w:t>
      </w:r>
    </w:p>
    <w:p w14:paraId="58D2B2B3">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15.重庆档案产业高质量发展研究</w:t>
      </w:r>
    </w:p>
    <w:p w14:paraId="261E6EC5">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16.数据流通利用背景下的档案数据质量研究</w:t>
      </w:r>
    </w:p>
    <w:p w14:paraId="788C4B10">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17.重庆档案数据质量评价及提升策略研究</w:t>
      </w:r>
    </w:p>
    <w:p w14:paraId="39289A4D">
      <w:pPr>
        <w:spacing w:line="600" w:lineRule="exact"/>
        <w:ind w:left="502" w:hanging="502" w:hangingChars="157"/>
        <w:rPr>
          <w:rFonts w:ascii="Times New Roman" w:hAnsi="Times New Roman" w:eastAsia="方正仿宋_GBK" w:cs="Times New Roman"/>
          <w:bCs/>
          <w:color w:val="000000" w:themeColor="text1"/>
          <w:kern w:val="0"/>
          <w:sz w:val="32"/>
          <w:szCs w:val="32"/>
          <w14:textFill>
            <w14:solidFill>
              <w14:schemeClr w14:val="tx1"/>
            </w14:solidFill>
          </w14:textFill>
        </w:rPr>
      </w:pPr>
    </w:p>
    <w:p w14:paraId="65B44E9E">
      <w:pPr>
        <w:spacing w:line="600" w:lineRule="exact"/>
        <w:ind w:firstLine="304" w:firstLineChars="95"/>
        <w:rPr>
          <w:rFonts w:ascii="Times New Roman" w:hAnsi="Times New Roman" w:eastAsia="方正仿宋_GBK" w:cs="Times New Roman"/>
          <w:bCs/>
          <w:color w:val="000000" w:themeColor="text1"/>
          <w:kern w:val="0"/>
          <w:sz w:val="32"/>
          <w:szCs w:val="32"/>
          <w14:textFill>
            <w14:solidFill>
              <w14:schemeClr w14:val="tx1"/>
            </w14:solidFill>
          </w14:textFill>
        </w:rPr>
        <w:sectPr>
          <w:pgSz w:w="11906" w:h="16838"/>
          <w:pgMar w:top="1985" w:right="1446" w:bottom="1644" w:left="1446" w:header="851" w:footer="992" w:gutter="0"/>
          <w:cols w:space="425" w:num="1"/>
          <w:docGrid w:type="lines" w:linePitch="312" w:charSpace="0"/>
        </w:sectPr>
      </w:pPr>
    </w:p>
    <w:p w14:paraId="5138EAA6">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教育学/心理学</w:t>
      </w:r>
    </w:p>
    <w:p w14:paraId="0F8EC7B0">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bookmarkStart w:id="7" w:name="OLE_LINK4"/>
      <w:r>
        <w:rPr>
          <w:rFonts w:hint="default" w:ascii="Times New Roman" w:hAnsi="Times New Roman" w:eastAsia="方正仿宋_GBK" w:cs="Times New Roman"/>
          <w:sz w:val="32"/>
          <w:szCs w:val="32"/>
        </w:rPr>
        <w:t>马克思主义教育思想</w:t>
      </w:r>
      <w:bookmarkEnd w:id="7"/>
      <w:r>
        <w:rPr>
          <w:rFonts w:hint="default" w:ascii="Times New Roman" w:hAnsi="Times New Roman" w:eastAsia="方正仿宋_GBK" w:cs="Times New Roman"/>
          <w:sz w:val="32"/>
          <w:szCs w:val="32"/>
        </w:rPr>
        <w:t>经典文献研究</w:t>
      </w:r>
      <w:r>
        <w:rPr>
          <w:rFonts w:hint="default" w:ascii="Times New Roman" w:hAnsi="Times New Roman" w:eastAsia="方正仿宋_GBK" w:cs="Times New Roman"/>
          <w:sz w:val="24"/>
          <w:szCs w:val="24"/>
        </w:rPr>
        <w:t xml:space="preserve"> </w:t>
      </w:r>
    </w:p>
    <w:p w14:paraId="738F5532">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*2.县域农村教育质量提升研究</w:t>
      </w:r>
    </w:p>
    <w:p w14:paraId="5CC44A16">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*3.县域普惠育幼服务体系构建与保障机制研究</w:t>
      </w:r>
    </w:p>
    <w:p w14:paraId="715B0F9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*4.与人口变化相适应的基础教育资源统筹调配机制研究</w:t>
      </w:r>
      <w:r>
        <w:rPr>
          <w:rFonts w:hint="default" w:ascii="Times New Roman" w:hAnsi="Times New Roman" w:eastAsia="方正仿宋_GBK" w:cs="Times New Roman"/>
          <w:sz w:val="24"/>
          <w:szCs w:val="24"/>
        </w:rPr>
        <w:t xml:space="preserve"> </w:t>
      </w:r>
    </w:p>
    <w:p w14:paraId="4D733A9A">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*5.职业教育“新双高”改革研究</w:t>
      </w:r>
    </w:p>
    <w:p w14:paraId="589BF8E4">
      <w:pPr>
        <w:spacing w:line="600" w:lineRule="exact"/>
        <w:ind w:firstLine="0" w:firstLineChars="0"/>
        <w:rPr>
          <w:rFonts w:hint="default" w:ascii="Times New Roman" w:hAnsi="Times New Roman" w:eastAsia="方正仿宋_GBK" w:cs="Times New Roman"/>
          <w:sz w:val="32"/>
          <w:szCs w:val="32"/>
        </w:rPr>
      </w:pPr>
      <w:bookmarkStart w:id="8" w:name="OLE_LINK6"/>
      <w:r>
        <w:rPr>
          <w:rFonts w:hint="default" w:ascii="Times New Roman" w:hAnsi="Times New Roman" w:eastAsia="方正仿宋_GBK" w:cs="Times New Roman"/>
          <w:sz w:val="32"/>
          <w:szCs w:val="32"/>
        </w:rPr>
        <w:t>*6.基于人工智能技术的教学模式创新研究</w:t>
      </w:r>
      <w:bookmarkEnd w:id="8"/>
    </w:p>
    <w:p w14:paraId="72A81F96">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*7.成渝地区双城经济圈教育高质量发展路径研究</w:t>
      </w:r>
    </w:p>
    <w:p w14:paraId="36D0B8C0">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*8.重庆统筹推动教育强市、西部创新高地和人才中心建设研究</w:t>
      </w:r>
    </w:p>
    <w:p w14:paraId="004C6FF3">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*9.重庆建设西部基础教育排头兵的策略与路径研究</w:t>
      </w:r>
    </w:p>
    <w:p w14:paraId="0F6F7AB9">
      <w:pPr>
        <w:spacing w:line="600" w:lineRule="exact"/>
        <w:ind w:firstLine="0" w:firstLineChars="0"/>
        <w:rPr>
          <w:rFonts w:hint="default" w:ascii="Times New Roman" w:hAnsi="Times New Roman" w:eastAsia="方正仿宋_GBK" w:cs="Times New Roman"/>
          <w:w w:val="95"/>
          <w:sz w:val="32"/>
          <w:szCs w:val="32"/>
        </w:rPr>
      </w:pPr>
      <w:r>
        <w:rPr>
          <w:rFonts w:hint="default" w:ascii="Times New Roman" w:hAnsi="Times New Roman" w:eastAsia="方正仿宋_GBK" w:cs="Times New Roman"/>
          <w:w w:val="95"/>
          <w:sz w:val="32"/>
          <w:szCs w:val="32"/>
        </w:rPr>
        <w:t>*10.重庆市“高校、科研院所和企业人才共育共享共用机制”改革研究</w:t>
      </w:r>
    </w:p>
    <w:p w14:paraId="42C3BC96">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*11.重庆高校学风建设研究 </w:t>
      </w:r>
    </w:p>
    <w:p w14:paraId="6A26A33C">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*12.幼儿保育过程性质量提升路径与策略研究</w:t>
      </w:r>
    </w:p>
    <w:p w14:paraId="6751118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*13.重庆市高中阶段学校设置布局与体制机制研究</w:t>
      </w:r>
    </w:p>
    <w:p w14:paraId="2C1B6FD8">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*14.教育强市背景下重庆市中等职业学校发展现状分析与优化布局研究</w:t>
      </w:r>
    </w:p>
    <w:p w14:paraId="339E8397">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*15.重庆市高等教育评价改革的现实困境及对策研究</w:t>
      </w:r>
    </w:p>
    <w:p w14:paraId="632B14B1">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*16.完善重庆市乡村教育帮扶体系研究</w:t>
      </w:r>
    </w:p>
    <w:p w14:paraId="06C5A62B">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17.重庆高校运用新时代伟大变革成功案例落实立德树人有效途径研究 </w:t>
      </w:r>
    </w:p>
    <w:p w14:paraId="67846742">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18.教育强市战略下重庆有组织教育科研机制创新与实施研究 </w:t>
      </w:r>
    </w:p>
    <w:p w14:paraId="5D7A2C30">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19.重庆幼儿园教师课程融合育人实践策略研究</w:t>
      </w:r>
    </w:p>
    <w:p w14:paraId="32FE05C7">
      <w:pPr>
        <w:spacing w:line="600" w:lineRule="exact"/>
        <w:ind w:firstLine="0" w:firstLineChars="0"/>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 xml:space="preserve">20.人口低生育率背景下重庆基础教育高质量发展策略研究 </w:t>
      </w:r>
    </w:p>
    <w:p w14:paraId="5630830D">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21.重庆市义务教育地方教材建设与管理研究</w:t>
      </w:r>
    </w:p>
    <w:p w14:paraId="1E2068C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22.重庆中小学人工智能教育研究 </w:t>
      </w:r>
    </w:p>
    <w:p w14:paraId="5C6193E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23.重庆中小学教师师德考核评价机制研究</w:t>
      </w:r>
    </w:p>
    <w:p w14:paraId="2674FD49">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24.以核心素养为导向的重庆中小学学生学习能力评价体系研究</w:t>
      </w:r>
    </w:p>
    <w:p w14:paraId="71259B9B">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25.重庆市中小学人工智能课程体系构建及数智化实现路径研究</w:t>
      </w:r>
    </w:p>
    <w:p w14:paraId="4ACF6B17">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26.人工智能赋能重庆职业教育高质量发展的策略与路径研究 </w:t>
      </w:r>
    </w:p>
    <w:p w14:paraId="124C2CD9">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27.教育强市背景下重庆职业教育贯通培养专业共同体建设路径与策略研究</w:t>
      </w:r>
    </w:p>
    <w:p w14:paraId="0F612BF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28.重庆市高等职业教育资源下沉区县运行机制研究  </w:t>
      </w:r>
    </w:p>
    <w:p w14:paraId="1DE17ABB">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29.基于“低空经济创新发展之城”建设目标的重庆高技能人才培养体系研究 </w:t>
      </w:r>
    </w:p>
    <w:p w14:paraId="6E2E0809">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30.人工智能赋能重庆职业教育高质量发展的有效路径研究</w:t>
      </w:r>
    </w:p>
    <w:p w14:paraId="76F732A2">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31.新质生产力视域下重庆职业本科人才培养模式创新研究</w:t>
      </w:r>
    </w:p>
    <w:p w14:paraId="045E6A50">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32.重庆市职业学校社会服务能力评价和提升路径研究</w:t>
      </w:r>
    </w:p>
    <w:p w14:paraId="35214379">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33.“十五五”期间重庆市高等院校设置区域布局与规模发展研究</w:t>
      </w:r>
    </w:p>
    <w:p w14:paraId="58264C93">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34.重庆高校大学生高质量充分就业政策体系构建与优化研究</w:t>
      </w:r>
    </w:p>
    <w:p w14:paraId="50549884">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35.重庆农村留守儿童心理健康问题的早期识别与干预研究</w:t>
      </w:r>
    </w:p>
    <w:p w14:paraId="586BD61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36.重庆儿童挑食行为的认知机制研究</w:t>
      </w:r>
    </w:p>
    <w:p w14:paraId="3C0238C1">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37.健全重庆市青少年心理疏导机制改革探索研究</w:t>
      </w:r>
    </w:p>
    <w:p w14:paraId="3C48279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38.社会阶层成长型心智对重庆大学生学业的影响研究</w:t>
      </w:r>
    </w:p>
    <w:p w14:paraId="35510C78">
      <w:pPr>
        <w:spacing w:line="600" w:lineRule="exact"/>
        <w:ind w:left="502" w:hanging="502" w:hangingChars="15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39.基于心理学视角的重庆脑机接口神经调控研究</w:t>
      </w:r>
    </w:p>
    <w:p w14:paraId="1718915A">
      <w:pPr>
        <w:widowControl w:val="0"/>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sectPr>
          <w:pgSz w:w="11906" w:h="16838"/>
          <w:pgMar w:top="1985" w:right="1446" w:bottom="1644" w:left="1446" w:header="851" w:footer="992" w:gutter="0"/>
          <w:cols w:space="425" w:num="1"/>
          <w:docGrid w:type="lines" w:linePitch="312" w:charSpace="0"/>
        </w:sectPr>
      </w:pPr>
    </w:p>
    <w:p w14:paraId="248CDB86">
      <w:pPr>
        <w:keepNext/>
        <w:keepLines/>
        <w:spacing w:line="600" w:lineRule="exact"/>
        <w:ind w:firstLine="0" w:firstLineChars="0"/>
        <w:jc w:val="center"/>
        <w:outlineLvl w:val="0"/>
        <w:rPr>
          <w:rFonts w:ascii="方正黑体_GBK" w:hAnsi="黑体" w:eastAsia="方正黑体_GBK" w:cs="宋体"/>
          <w:bCs/>
          <w:color w:val="000000" w:themeColor="text1"/>
          <w:kern w:val="0"/>
          <w:sz w:val="32"/>
          <w:szCs w:val="32"/>
          <w14:textFill>
            <w14:solidFill>
              <w14:schemeClr w14:val="tx1"/>
            </w14:solidFill>
          </w14:textFill>
        </w:rPr>
      </w:pPr>
      <w:r>
        <w:rPr>
          <w:rFonts w:hint="eastAsia" w:ascii="方正黑体_GBK" w:hAnsi="黑体" w:eastAsia="方正黑体_GBK" w:cs="宋体"/>
          <w:bCs/>
          <w:color w:val="000000" w:themeColor="text1"/>
          <w:kern w:val="0"/>
          <w:sz w:val="32"/>
          <w:szCs w:val="32"/>
          <w14:textFill>
            <w14:solidFill>
              <w14:schemeClr w14:val="tx1"/>
            </w14:solidFill>
          </w14:textFill>
        </w:rPr>
        <w:t>体育学</w:t>
      </w:r>
    </w:p>
    <w:p w14:paraId="4ACE7580">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*1.中国体育学自主知识体系多重建构研究</w:t>
      </w:r>
    </w:p>
    <w:p w14:paraId="6D7E96D3">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*2.学校体育促进铸牢中华民族共同体意识研究</w:t>
      </w:r>
    </w:p>
    <w:p w14:paraId="2C6D0900">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*3.中国特色体育国际传播研究</w:t>
      </w:r>
    </w:p>
    <w:p w14:paraId="6DFF11A6">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*4.体育产业高质量发展水平测度与优化路径研究</w:t>
      </w:r>
    </w:p>
    <w:p w14:paraId="6D550689">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*5.数实融合推进我国体育用品制造产业高质量发展研究</w:t>
      </w:r>
    </w:p>
    <w:p w14:paraId="71E8B213">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*6.数据要素赋能体育产业高质量发展研究</w:t>
      </w:r>
    </w:p>
    <w:p w14:paraId="070469E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*7.特色竞技体育科学训练体系构建研究</w:t>
      </w:r>
    </w:p>
    <w:p w14:paraId="4F60A002">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*8.重庆全民健身公共服务体系构建研究</w:t>
      </w:r>
    </w:p>
    <w:p w14:paraId="48E750AE">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9.成渝地区双城经济圈体育产业协同发展研究</w:t>
      </w:r>
    </w:p>
    <w:p w14:paraId="6D0F08E3">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10.重庆残疾人公共体育服务数字化转型研究</w:t>
      </w:r>
    </w:p>
    <w:p w14:paraId="74D4D8F5">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11.重庆大型体育赛事绿色转型机制构建研究</w:t>
      </w:r>
    </w:p>
    <w:p w14:paraId="24942FC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12.重庆县域全民健身公共服务体系的推进机制及路径研究</w:t>
      </w:r>
      <w:bookmarkStart w:id="9" w:name="_GoBack"/>
      <w:bookmarkEnd w:id="9"/>
    </w:p>
    <w:p w14:paraId="63FAD4F7">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13.数智赋能重庆大型体育赛事研究</w:t>
      </w:r>
    </w:p>
    <w:p w14:paraId="28C8ED7C">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14.重庆老年人运动作息行为优化研究</w:t>
      </w:r>
    </w:p>
    <w:p w14:paraId="3F4B7B26">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15.重庆青少年手机成瘾的运动干预模式研究</w:t>
      </w:r>
    </w:p>
    <w:p w14:paraId="4DC0371F">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16.重庆体育旅游产业数字化转型研究</w:t>
      </w:r>
    </w:p>
    <w:p w14:paraId="620F83B1">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17.重庆高水平运动员系统化体能测试方案研究</w:t>
      </w:r>
    </w:p>
    <w:p w14:paraId="083BF891">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18.重庆体育非物质文化遗产的地方记忆与社会整合研究</w:t>
      </w:r>
    </w:p>
    <w:p w14:paraId="7FBB8F4A">
      <w:pPr>
        <w:spacing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19.重庆数字体育赛事发展的风险治理研究</w:t>
      </w:r>
    </w:p>
    <w:p w14:paraId="58F1D0F5">
      <w:pPr>
        <w:spacing w:line="60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20.重庆全民健身与竞技体育协调发展机制研究</w:t>
      </w:r>
    </w:p>
    <w:p w14:paraId="59750810">
      <w:pPr>
        <w:spacing w:line="560" w:lineRule="exact"/>
        <w:ind w:left="502" w:hanging="502" w:hangingChars="157"/>
        <w:rPr>
          <w:rFonts w:ascii="Times New Roman" w:hAnsi="Times New Roman" w:eastAsia="方正仿宋_GBK" w:cs="Times New Roman"/>
          <w:bCs/>
          <w:color w:val="000000" w:themeColor="text1"/>
          <w:kern w:val="0"/>
          <w:sz w:val="32"/>
          <w:szCs w:val="32"/>
          <w14:textFill>
            <w14:solidFill>
              <w14:schemeClr w14:val="tx1"/>
            </w14:solidFill>
          </w14:textFill>
        </w:rPr>
      </w:pPr>
    </w:p>
    <w:sectPr>
      <w:pgSz w:w="11906" w:h="16838"/>
      <w:pgMar w:top="1984" w:right="1446" w:bottom="1644" w:left="144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FC389">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97026">
                          <w:pPr>
                            <w:pStyle w:val="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197026">
                    <w:pPr>
                      <w:pStyle w:val="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9A0C6">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F984C">
    <w:pPr>
      <w:pStyle w:val="3"/>
      <w:framePr w:wrap="around" w:vAnchor="text" w:hAnchor="margin" w:xAlign="center" w:y="1"/>
      <w:ind w:firstLine="360"/>
      <w:rPr>
        <w:rStyle w:val="8"/>
      </w:rPr>
    </w:pPr>
    <w:r>
      <w:fldChar w:fldCharType="begin"/>
    </w:r>
    <w:r>
      <w:rPr>
        <w:rStyle w:val="8"/>
      </w:rPr>
      <w:instrText xml:space="preserve">PAGE  </w:instrText>
    </w:r>
    <w:r>
      <w:fldChar w:fldCharType="separate"/>
    </w:r>
    <w:r>
      <w:rPr>
        <w:rStyle w:val="8"/>
      </w:rPr>
      <w:t xml:space="preserve"> </w:t>
    </w:r>
    <w:r>
      <w:fldChar w:fldCharType="end"/>
    </w:r>
  </w:p>
  <w:p w14:paraId="4CB289C1">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DA419">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F4D1B">
    <w:pPr>
      <w:pStyle w:val="3"/>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6695F">
                          <w:pPr>
                            <w:pStyle w:val="3"/>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F56695F">
                    <w:pPr>
                      <w:pStyle w:val="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BF50">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52B8">
    <w:pPr>
      <w:pStyle w:val="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F3E35">
    <w:pPr>
      <w:pStyle w:val="3"/>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5E85D">
    <w:pPr>
      <w:pStyle w:val="3"/>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34E8C">
                          <w:pPr>
                            <w:pStyle w:val="3"/>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20</w:t>
                          </w:r>
                          <w:r>
                            <w:rPr>
                              <w:rFonts w:hint="eastAsia" w:ascii="方正仿宋_GBK" w:hAnsi="方正仿宋_GBK" w:eastAsia="方正仿宋_GBK" w:cs="方正仿宋_GBK"/>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AA34E8C">
                    <w:pPr>
                      <w:pStyle w:val="3"/>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20</w:t>
                    </w:r>
                    <w:r>
                      <w:rPr>
                        <w:rFonts w:hint="eastAsia" w:ascii="方正仿宋_GBK" w:hAnsi="方正仿宋_GBK" w:eastAsia="方正仿宋_GBK" w:cs="方正仿宋_GBK"/>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A1C2D">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D7AEE">
    <w:pPr>
      <w:ind w:firstLine="0" w:firstLineChars="0"/>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47A8">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40E4">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73A8">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FDBBA">
    <w:pPr>
      <w:ind w:firstLine="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F1488">
    <w:pPr>
      <w:pStyle w:val="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63C1A">
    <w:pPr>
      <w:pStyle w:val="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BFE85">
    <w:pPr>
      <w:ind w:firstLine="4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95CA2">
    <w:pPr>
      <w:ind w:firstLine="42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56BC">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E5"/>
    <w:rsid w:val="00003043"/>
    <w:rsid w:val="000161CB"/>
    <w:rsid w:val="00017C59"/>
    <w:rsid w:val="00023E91"/>
    <w:rsid w:val="00025865"/>
    <w:rsid w:val="0004377E"/>
    <w:rsid w:val="00050434"/>
    <w:rsid w:val="0005088C"/>
    <w:rsid w:val="000577CC"/>
    <w:rsid w:val="000601BF"/>
    <w:rsid w:val="00060801"/>
    <w:rsid w:val="0006195E"/>
    <w:rsid w:val="000709F6"/>
    <w:rsid w:val="00072BDC"/>
    <w:rsid w:val="00074E83"/>
    <w:rsid w:val="00085CEE"/>
    <w:rsid w:val="000A4D51"/>
    <w:rsid w:val="000A7E69"/>
    <w:rsid w:val="000B1345"/>
    <w:rsid w:val="000C4C31"/>
    <w:rsid w:val="000C5720"/>
    <w:rsid w:val="000C5F06"/>
    <w:rsid w:val="000E5649"/>
    <w:rsid w:val="00101198"/>
    <w:rsid w:val="00102911"/>
    <w:rsid w:val="00106E84"/>
    <w:rsid w:val="00107E10"/>
    <w:rsid w:val="0011084C"/>
    <w:rsid w:val="00110D98"/>
    <w:rsid w:val="00116223"/>
    <w:rsid w:val="0012128A"/>
    <w:rsid w:val="00122841"/>
    <w:rsid w:val="0012304C"/>
    <w:rsid w:val="001244E0"/>
    <w:rsid w:val="0013113D"/>
    <w:rsid w:val="001402A1"/>
    <w:rsid w:val="00146A7A"/>
    <w:rsid w:val="00146FD4"/>
    <w:rsid w:val="00154DC7"/>
    <w:rsid w:val="00176C2E"/>
    <w:rsid w:val="00190F48"/>
    <w:rsid w:val="001A7726"/>
    <w:rsid w:val="001B0E10"/>
    <w:rsid w:val="001B2D58"/>
    <w:rsid w:val="001B425D"/>
    <w:rsid w:val="001C2867"/>
    <w:rsid w:val="001D51E9"/>
    <w:rsid w:val="001E18CD"/>
    <w:rsid w:val="001E2FE0"/>
    <w:rsid w:val="001F23A0"/>
    <w:rsid w:val="00201F55"/>
    <w:rsid w:val="00212E5A"/>
    <w:rsid w:val="00222D23"/>
    <w:rsid w:val="00231011"/>
    <w:rsid w:val="00244BE4"/>
    <w:rsid w:val="0026141B"/>
    <w:rsid w:val="00261B9A"/>
    <w:rsid w:val="002647C5"/>
    <w:rsid w:val="00267379"/>
    <w:rsid w:val="00282A1F"/>
    <w:rsid w:val="0029016E"/>
    <w:rsid w:val="002978AA"/>
    <w:rsid w:val="002A1BE1"/>
    <w:rsid w:val="002A4E3F"/>
    <w:rsid w:val="002D5688"/>
    <w:rsid w:val="002D5D9F"/>
    <w:rsid w:val="00302636"/>
    <w:rsid w:val="00312657"/>
    <w:rsid w:val="00323A73"/>
    <w:rsid w:val="00331886"/>
    <w:rsid w:val="00336DF3"/>
    <w:rsid w:val="0034534D"/>
    <w:rsid w:val="00354F13"/>
    <w:rsid w:val="00380CB5"/>
    <w:rsid w:val="003A2D5C"/>
    <w:rsid w:val="003B0327"/>
    <w:rsid w:val="003B0C15"/>
    <w:rsid w:val="003B46D0"/>
    <w:rsid w:val="003B5DCB"/>
    <w:rsid w:val="003C3A33"/>
    <w:rsid w:val="003C5006"/>
    <w:rsid w:val="003E4DDE"/>
    <w:rsid w:val="00401DE5"/>
    <w:rsid w:val="00421DEC"/>
    <w:rsid w:val="00422847"/>
    <w:rsid w:val="004358F0"/>
    <w:rsid w:val="00441DD6"/>
    <w:rsid w:val="00460863"/>
    <w:rsid w:val="00467D9D"/>
    <w:rsid w:val="00474427"/>
    <w:rsid w:val="00474644"/>
    <w:rsid w:val="00474979"/>
    <w:rsid w:val="004761E1"/>
    <w:rsid w:val="00477F9A"/>
    <w:rsid w:val="00481D6F"/>
    <w:rsid w:val="00484350"/>
    <w:rsid w:val="0048445E"/>
    <w:rsid w:val="00493E34"/>
    <w:rsid w:val="004A59CE"/>
    <w:rsid w:val="004B115D"/>
    <w:rsid w:val="004B1639"/>
    <w:rsid w:val="004B34CF"/>
    <w:rsid w:val="004B3D23"/>
    <w:rsid w:val="004C4DC7"/>
    <w:rsid w:val="004D5A54"/>
    <w:rsid w:val="004F1DA7"/>
    <w:rsid w:val="004F2025"/>
    <w:rsid w:val="004F658B"/>
    <w:rsid w:val="00504F8A"/>
    <w:rsid w:val="00522477"/>
    <w:rsid w:val="00531670"/>
    <w:rsid w:val="0054062C"/>
    <w:rsid w:val="005450D1"/>
    <w:rsid w:val="00545743"/>
    <w:rsid w:val="00547ADE"/>
    <w:rsid w:val="00562D5B"/>
    <w:rsid w:val="005842E1"/>
    <w:rsid w:val="0058612C"/>
    <w:rsid w:val="00594936"/>
    <w:rsid w:val="00596EC6"/>
    <w:rsid w:val="005A26EF"/>
    <w:rsid w:val="005A291E"/>
    <w:rsid w:val="005A773F"/>
    <w:rsid w:val="005B5A66"/>
    <w:rsid w:val="005B6444"/>
    <w:rsid w:val="005C1F55"/>
    <w:rsid w:val="005D093A"/>
    <w:rsid w:val="005D2BDC"/>
    <w:rsid w:val="005E3EF4"/>
    <w:rsid w:val="00603392"/>
    <w:rsid w:val="00603EDA"/>
    <w:rsid w:val="00611759"/>
    <w:rsid w:val="00622CD1"/>
    <w:rsid w:val="00633033"/>
    <w:rsid w:val="0064061E"/>
    <w:rsid w:val="00640C45"/>
    <w:rsid w:val="00645AE5"/>
    <w:rsid w:val="00646DBE"/>
    <w:rsid w:val="006477F9"/>
    <w:rsid w:val="00654402"/>
    <w:rsid w:val="0067606B"/>
    <w:rsid w:val="00697AC6"/>
    <w:rsid w:val="006A11B6"/>
    <w:rsid w:val="006A51F5"/>
    <w:rsid w:val="006B19F3"/>
    <w:rsid w:val="006B2B55"/>
    <w:rsid w:val="006C514A"/>
    <w:rsid w:val="006C5727"/>
    <w:rsid w:val="006D2BE1"/>
    <w:rsid w:val="006E5974"/>
    <w:rsid w:val="006E60E4"/>
    <w:rsid w:val="00711A6F"/>
    <w:rsid w:val="0071397F"/>
    <w:rsid w:val="00724ED7"/>
    <w:rsid w:val="0072737E"/>
    <w:rsid w:val="00731081"/>
    <w:rsid w:val="00733E6F"/>
    <w:rsid w:val="00740225"/>
    <w:rsid w:val="007555FB"/>
    <w:rsid w:val="00760268"/>
    <w:rsid w:val="007746C7"/>
    <w:rsid w:val="00792064"/>
    <w:rsid w:val="00793954"/>
    <w:rsid w:val="0079606F"/>
    <w:rsid w:val="007A253F"/>
    <w:rsid w:val="007A3336"/>
    <w:rsid w:val="007B48BE"/>
    <w:rsid w:val="007C286B"/>
    <w:rsid w:val="007C4150"/>
    <w:rsid w:val="007E14F0"/>
    <w:rsid w:val="007E5DA8"/>
    <w:rsid w:val="007E7411"/>
    <w:rsid w:val="007F0275"/>
    <w:rsid w:val="007F5D00"/>
    <w:rsid w:val="00801B61"/>
    <w:rsid w:val="00804310"/>
    <w:rsid w:val="00806E98"/>
    <w:rsid w:val="008165DF"/>
    <w:rsid w:val="00830028"/>
    <w:rsid w:val="008341DE"/>
    <w:rsid w:val="00841B82"/>
    <w:rsid w:val="00846962"/>
    <w:rsid w:val="00851452"/>
    <w:rsid w:val="00853A70"/>
    <w:rsid w:val="0086508F"/>
    <w:rsid w:val="0086671A"/>
    <w:rsid w:val="008805C9"/>
    <w:rsid w:val="00894FF0"/>
    <w:rsid w:val="00895690"/>
    <w:rsid w:val="008A04D4"/>
    <w:rsid w:val="008A2A3A"/>
    <w:rsid w:val="008C3F0C"/>
    <w:rsid w:val="008D5B09"/>
    <w:rsid w:val="008E1F6F"/>
    <w:rsid w:val="008E38E3"/>
    <w:rsid w:val="008F718B"/>
    <w:rsid w:val="00902865"/>
    <w:rsid w:val="009149C0"/>
    <w:rsid w:val="0092099E"/>
    <w:rsid w:val="00922BD1"/>
    <w:rsid w:val="009304EA"/>
    <w:rsid w:val="0093282C"/>
    <w:rsid w:val="009405E8"/>
    <w:rsid w:val="0097062F"/>
    <w:rsid w:val="009B2A29"/>
    <w:rsid w:val="009C1B8C"/>
    <w:rsid w:val="009C3FD8"/>
    <w:rsid w:val="009D7510"/>
    <w:rsid w:val="009E2D45"/>
    <w:rsid w:val="009E4513"/>
    <w:rsid w:val="00A105A7"/>
    <w:rsid w:val="00A200AB"/>
    <w:rsid w:val="00A2377E"/>
    <w:rsid w:val="00A33B59"/>
    <w:rsid w:val="00A3601C"/>
    <w:rsid w:val="00A3659B"/>
    <w:rsid w:val="00A377EF"/>
    <w:rsid w:val="00A37E78"/>
    <w:rsid w:val="00A46F80"/>
    <w:rsid w:val="00A61520"/>
    <w:rsid w:val="00A72980"/>
    <w:rsid w:val="00A76C0E"/>
    <w:rsid w:val="00A86CA5"/>
    <w:rsid w:val="00A91914"/>
    <w:rsid w:val="00A940DC"/>
    <w:rsid w:val="00A94D7E"/>
    <w:rsid w:val="00AA2E3E"/>
    <w:rsid w:val="00AA7A49"/>
    <w:rsid w:val="00AB25CF"/>
    <w:rsid w:val="00AB5A72"/>
    <w:rsid w:val="00AC7397"/>
    <w:rsid w:val="00AD44BB"/>
    <w:rsid w:val="00AD627D"/>
    <w:rsid w:val="00AE7364"/>
    <w:rsid w:val="00AF35D6"/>
    <w:rsid w:val="00AF7704"/>
    <w:rsid w:val="00B0439E"/>
    <w:rsid w:val="00B12164"/>
    <w:rsid w:val="00B16B4C"/>
    <w:rsid w:val="00B2386F"/>
    <w:rsid w:val="00B27A25"/>
    <w:rsid w:val="00B31673"/>
    <w:rsid w:val="00B320B2"/>
    <w:rsid w:val="00B3771F"/>
    <w:rsid w:val="00B44B11"/>
    <w:rsid w:val="00B5304A"/>
    <w:rsid w:val="00B81CDA"/>
    <w:rsid w:val="00B82664"/>
    <w:rsid w:val="00B87669"/>
    <w:rsid w:val="00BA4195"/>
    <w:rsid w:val="00BA4F1B"/>
    <w:rsid w:val="00BA60F2"/>
    <w:rsid w:val="00BA7843"/>
    <w:rsid w:val="00BB3D1A"/>
    <w:rsid w:val="00BB4717"/>
    <w:rsid w:val="00BD118C"/>
    <w:rsid w:val="00BD5556"/>
    <w:rsid w:val="00BE4BDF"/>
    <w:rsid w:val="00BE6460"/>
    <w:rsid w:val="00BF213A"/>
    <w:rsid w:val="00C07CF3"/>
    <w:rsid w:val="00C11547"/>
    <w:rsid w:val="00C267BE"/>
    <w:rsid w:val="00C30B66"/>
    <w:rsid w:val="00C325C8"/>
    <w:rsid w:val="00C37CAC"/>
    <w:rsid w:val="00C437AD"/>
    <w:rsid w:val="00C51EF7"/>
    <w:rsid w:val="00C651D0"/>
    <w:rsid w:val="00C72F03"/>
    <w:rsid w:val="00C763A0"/>
    <w:rsid w:val="00C94B6A"/>
    <w:rsid w:val="00C97D2F"/>
    <w:rsid w:val="00CA459C"/>
    <w:rsid w:val="00CB11E7"/>
    <w:rsid w:val="00CB29E7"/>
    <w:rsid w:val="00CD13ED"/>
    <w:rsid w:val="00CD433B"/>
    <w:rsid w:val="00CD71A6"/>
    <w:rsid w:val="00D02A34"/>
    <w:rsid w:val="00D04060"/>
    <w:rsid w:val="00D10BC5"/>
    <w:rsid w:val="00D328AE"/>
    <w:rsid w:val="00D45616"/>
    <w:rsid w:val="00D519CB"/>
    <w:rsid w:val="00D54E42"/>
    <w:rsid w:val="00D61ECC"/>
    <w:rsid w:val="00D73097"/>
    <w:rsid w:val="00D757B0"/>
    <w:rsid w:val="00DB6163"/>
    <w:rsid w:val="00DC2CA2"/>
    <w:rsid w:val="00DC4B41"/>
    <w:rsid w:val="00DC7668"/>
    <w:rsid w:val="00DD3D60"/>
    <w:rsid w:val="00DF793E"/>
    <w:rsid w:val="00E01171"/>
    <w:rsid w:val="00E06635"/>
    <w:rsid w:val="00E12BFC"/>
    <w:rsid w:val="00E1419B"/>
    <w:rsid w:val="00E35387"/>
    <w:rsid w:val="00E55D34"/>
    <w:rsid w:val="00E64429"/>
    <w:rsid w:val="00E701E4"/>
    <w:rsid w:val="00E912E5"/>
    <w:rsid w:val="00E94140"/>
    <w:rsid w:val="00EC01A5"/>
    <w:rsid w:val="00EC06F1"/>
    <w:rsid w:val="00EE0BC2"/>
    <w:rsid w:val="00EF5068"/>
    <w:rsid w:val="00F1050B"/>
    <w:rsid w:val="00F10A6D"/>
    <w:rsid w:val="00F16126"/>
    <w:rsid w:val="00F20DFF"/>
    <w:rsid w:val="00F27AD6"/>
    <w:rsid w:val="00F36142"/>
    <w:rsid w:val="00F3650A"/>
    <w:rsid w:val="00F6162D"/>
    <w:rsid w:val="00F64A98"/>
    <w:rsid w:val="00F73C3D"/>
    <w:rsid w:val="00F74939"/>
    <w:rsid w:val="00F75F6D"/>
    <w:rsid w:val="00F8597C"/>
    <w:rsid w:val="00F872D3"/>
    <w:rsid w:val="00F8759E"/>
    <w:rsid w:val="00FA2371"/>
    <w:rsid w:val="00FB4B0C"/>
    <w:rsid w:val="00FD1033"/>
    <w:rsid w:val="00FE3E38"/>
    <w:rsid w:val="00FE5CF9"/>
    <w:rsid w:val="00FF6569"/>
    <w:rsid w:val="016D5D29"/>
    <w:rsid w:val="024E31BD"/>
    <w:rsid w:val="025C1B4A"/>
    <w:rsid w:val="04127E28"/>
    <w:rsid w:val="04580A1A"/>
    <w:rsid w:val="045D34D3"/>
    <w:rsid w:val="0461592E"/>
    <w:rsid w:val="051214B4"/>
    <w:rsid w:val="06AB20CE"/>
    <w:rsid w:val="070D3849"/>
    <w:rsid w:val="07C90B71"/>
    <w:rsid w:val="08BD61C8"/>
    <w:rsid w:val="08FE5039"/>
    <w:rsid w:val="0A5058B9"/>
    <w:rsid w:val="0A936C5D"/>
    <w:rsid w:val="0B375294"/>
    <w:rsid w:val="0B602217"/>
    <w:rsid w:val="0B71230C"/>
    <w:rsid w:val="0B715836"/>
    <w:rsid w:val="0B727457"/>
    <w:rsid w:val="0CA06E61"/>
    <w:rsid w:val="0D607BF6"/>
    <w:rsid w:val="0D7F7F7A"/>
    <w:rsid w:val="0EC3267E"/>
    <w:rsid w:val="0EF625AC"/>
    <w:rsid w:val="0F8E1EB6"/>
    <w:rsid w:val="104977A5"/>
    <w:rsid w:val="10A90F6E"/>
    <w:rsid w:val="10C929EA"/>
    <w:rsid w:val="110E5584"/>
    <w:rsid w:val="11175BEC"/>
    <w:rsid w:val="11567FC8"/>
    <w:rsid w:val="1203745D"/>
    <w:rsid w:val="121D5CB7"/>
    <w:rsid w:val="124771F7"/>
    <w:rsid w:val="12C23A8A"/>
    <w:rsid w:val="131D0882"/>
    <w:rsid w:val="135E4E2D"/>
    <w:rsid w:val="13812B6E"/>
    <w:rsid w:val="13ED3D8E"/>
    <w:rsid w:val="14626D50"/>
    <w:rsid w:val="14D71F79"/>
    <w:rsid w:val="15A51221"/>
    <w:rsid w:val="165D5A37"/>
    <w:rsid w:val="16AA5DAB"/>
    <w:rsid w:val="1729160C"/>
    <w:rsid w:val="1764269C"/>
    <w:rsid w:val="17EF2E07"/>
    <w:rsid w:val="17F751D0"/>
    <w:rsid w:val="197E6B2C"/>
    <w:rsid w:val="199913CD"/>
    <w:rsid w:val="1A0206F7"/>
    <w:rsid w:val="1A17656F"/>
    <w:rsid w:val="1A3F047F"/>
    <w:rsid w:val="1B265DE9"/>
    <w:rsid w:val="1BEE4DF7"/>
    <w:rsid w:val="1CF203D7"/>
    <w:rsid w:val="1EA74833"/>
    <w:rsid w:val="1EAB00AD"/>
    <w:rsid w:val="1FC34F60"/>
    <w:rsid w:val="203051E2"/>
    <w:rsid w:val="209F6F92"/>
    <w:rsid w:val="20DE4AD6"/>
    <w:rsid w:val="234E1B01"/>
    <w:rsid w:val="2355603E"/>
    <w:rsid w:val="23FB4E4C"/>
    <w:rsid w:val="24B90E75"/>
    <w:rsid w:val="255E20E6"/>
    <w:rsid w:val="266B0E73"/>
    <w:rsid w:val="271C53E5"/>
    <w:rsid w:val="277C51EB"/>
    <w:rsid w:val="282C43EC"/>
    <w:rsid w:val="295A3BC5"/>
    <w:rsid w:val="2988420A"/>
    <w:rsid w:val="2A906944"/>
    <w:rsid w:val="2B767387"/>
    <w:rsid w:val="2B8901EE"/>
    <w:rsid w:val="2BA20629"/>
    <w:rsid w:val="2BDF5376"/>
    <w:rsid w:val="2BE65013"/>
    <w:rsid w:val="2C524771"/>
    <w:rsid w:val="2C76725C"/>
    <w:rsid w:val="2C8A5E20"/>
    <w:rsid w:val="2DBB3E55"/>
    <w:rsid w:val="2ECC0432"/>
    <w:rsid w:val="2F240E9E"/>
    <w:rsid w:val="2F942867"/>
    <w:rsid w:val="304B4109"/>
    <w:rsid w:val="30A1695B"/>
    <w:rsid w:val="313E4C16"/>
    <w:rsid w:val="321B1B17"/>
    <w:rsid w:val="32865C79"/>
    <w:rsid w:val="32D15935"/>
    <w:rsid w:val="33DA255D"/>
    <w:rsid w:val="350A0182"/>
    <w:rsid w:val="35BD46C2"/>
    <w:rsid w:val="375138AA"/>
    <w:rsid w:val="37664FCF"/>
    <w:rsid w:val="37781D9D"/>
    <w:rsid w:val="388E0068"/>
    <w:rsid w:val="39F808A3"/>
    <w:rsid w:val="3A6C4F0A"/>
    <w:rsid w:val="3A8514C4"/>
    <w:rsid w:val="3B7333A1"/>
    <w:rsid w:val="3BC10E30"/>
    <w:rsid w:val="3C293B1F"/>
    <w:rsid w:val="3C3D73B9"/>
    <w:rsid w:val="3E866B71"/>
    <w:rsid w:val="3EE96E87"/>
    <w:rsid w:val="3F30371B"/>
    <w:rsid w:val="40AF644D"/>
    <w:rsid w:val="42971F85"/>
    <w:rsid w:val="42E854F8"/>
    <w:rsid w:val="43EF5F40"/>
    <w:rsid w:val="44733FB6"/>
    <w:rsid w:val="44BB4440"/>
    <w:rsid w:val="44F366BA"/>
    <w:rsid w:val="44F52E34"/>
    <w:rsid w:val="456C7AE2"/>
    <w:rsid w:val="457708E0"/>
    <w:rsid w:val="45ED611E"/>
    <w:rsid w:val="4647240E"/>
    <w:rsid w:val="464C76CF"/>
    <w:rsid w:val="46AE72BC"/>
    <w:rsid w:val="46BD2650"/>
    <w:rsid w:val="47D755E4"/>
    <w:rsid w:val="47FC538D"/>
    <w:rsid w:val="486115DC"/>
    <w:rsid w:val="4886701B"/>
    <w:rsid w:val="48993612"/>
    <w:rsid w:val="48B86E14"/>
    <w:rsid w:val="49265DF6"/>
    <w:rsid w:val="49D025CA"/>
    <w:rsid w:val="4A04393F"/>
    <w:rsid w:val="4B470073"/>
    <w:rsid w:val="4B4C47AA"/>
    <w:rsid w:val="4BE95B17"/>
    <w:rsid w:val="4DE621FB"/>
    <w:rsid w:val="4DF16F1E"/>
    <w:rsid w:val="4E9F2A08"/>
    <w:rsid w:val="4E9F772E"/>
    <w:rsid w:val="4EB47E60"/>
    <w:rsid w:val="4ED332E9"/>
    <w:rsid w:val="4FA77313"/>
    <w:rsid w:val="5001384B"/>
    <w:rsid w:val="50086768"/>
    <w:rsid w:val="509938A8"/>
    <w:rsid w:val="50B055A1"/>
    <w:rsid w:val="510D1FCC"/>
    <w:rsid w:val="525A3635"/>
    <w:rsid w:val="52A51BA5"/>
    <w:rsid w:val="536F2255"/>
    <w:rsid w:val="539C2AB0"/>
    <w:rsid w:val="53D04C0D"/>
    <w:rsid w:val="53FD6011"/>
    <w:rsid w:val="54E43134"/>
    <w:rsid w:val="54F0136D"/>
    <w:rsid w:val="555E5F94"/>
    <w:rsid w:val="56553771"/>
    <w:rsid w:val="56D96EA8"/>
    <w:rsid w:val="573371E1"/>
    <w:rsid w:val="57AC218E"/>
    <w:rsid w:val="58453CFE"/>
    <w:rsid w:val="58E757B0"/>
    <w:rsid w:val="59173250"/>
    <w:rsid w:val="5A607655"/>
    <w:rsid w:val="5B2F62E3"/>
    <w:rsid w:val="5C5C7EB7"/>
    <w:rsid w:val="5C9F389C"/>
    <w:rsid w:val="5CA64CA6"/>
    <w:rsid w:val="5E4E342D"/>
    <w:rsid w:val="5F0A61D2"/>
    <w:rsid w:val="5F81511B"/>
    <w:rsid w:val="5F831F7B"/>
    <w:rsid w:val="5F88496B"/>
    <w:rsid w:val="60C62535"/>
    <w:rsid w:val="61113C00"/>
    <w:rsid w:val="616D36A3"/>
    <w:rsid w:val="624E6F8F"/>
    <w:rsid w:val="625E62A9"/>
    <w:rsid w:val="628D1ACF"/>
    <w:rsid w:val="62981A01"/>
    <w:rsid w:val="630F5067"/>
    <w:rsid w:val="632958C1"/>
    <w:rsid w:val="63E366DC"/>
    <w:rsid w:val="644C5EDB"/>
    <w:rsid w:val="646C2D7C"/>
    <w:rsid w:val="650B3D26"/>
    <w:rsid w:val="65116386"/>
    <w:rsid w:val="65D42165"/>
    <w:rsid w:val="66642AA7"/>
    <w:rsid w:val="66FD6DE7"/>
    <w:rsid w:val="67D52A51"/>
    <w:rsid w:val="680944DF"/>
    <w:rsid w:val="6845513F"/>
    <w:rsid w:val="68483E44"/>
    <w:rsid w:val="68DB5336"/>
    <w:rsid w:val="6952022C"/>
    <w:rsid w:val="699E7D03"/>
    <w:rsid w:val="69CC7DEF"/>
    <w:rsid w:val="69E878A1"/>
    <w:rsid w:val="69F301ED"/>
    <w:rsid w:val="6AAE10E5"/>
    <w:rsid w:val="6B8C3DEB"/>
    <w:rsid w:val="6BBD684A"/>
    <w:rsid w:val="6BF43FE9"/>
    <w:rsid w:val="6C4C3EAD"/>
    <w:rsid w:val="6C4E728F"/>
    <w:rsid w:val="6CB3063E"/>
    <w:rsid w:val="6D042B84"/>
    <w:rsid w:val="6DB50CB8"/>
    <w:rsid w:val="6E023CD0"/>
    <w:rsid w:val="6E1E580E"/>
    <w:rsid w:val="6E663044"/>
    <w:rsid w:val="6F033D94"/>
    <w:rsid w:val="6F735359"/>
    <w:rsid w:val="70024036"/>
    <w:rsid w:val="70472F55"/>
    <w:rsid w:val="715D0027"/>
    <w:rsid w:val="719C02F0"/>
    <w:rsid w:val="722550A8"/>
    <w:rsid w:val="73B52AC6"/>
    <w:rsid w:val="73B92092"/>
    <w:rsid w:val="73BA5392"/>
    <w:rsid w:val="74904B1A"/>
    <w:rsid w:val="74DC4BB1"/>
    <w:rsid w:val="75237E26"/>
    <w:rsid w:val="754018BF"/>
    <w:rsid w:val="759722FF"/>
    <w:rsid w:val="75E14921"/>
    <w:rsid w:val="77A007AB"/>
    <w:rsid w:val="78284345"/>
    <w:rsid w:val="79222720"/>
    <w:rsid w:val="79D51B27"/>
    <w:rsid w:val="79F56707"/>
    <w:rsid w:val="7A64293C"/>
    <w:rsid w:val="7B0D396E"/>
    <w:rsid w:val="7B5F2E59"/>
    <w:rsid w:val="7B891A08"/>
    <w:rsid w:val="7D1E6A9F"/>
    <w:rsid w:val="7DC17407"/>
    <w:rsid w:val="7E9222F7"/>
    <w:rsid w:val="7EDD5A9A"/>
    <w:rsid w:val="7F76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tLeast"/>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semiHidden/>
    <w:unhideWhenUsed/>
    <w:qFormat/>
    <w:uiPriority w:val="99"/>
    <w:rPr>
      <w:sz w:val="24"/>
    </w:r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1 字符"/>
    <w:basedOn w:val="7"/>
    <w:link w:val="2"/>
    <w:qFormat/>
    <w:uiPriority w:val="9"/>
    <w:rPr>
      <w:b/>
      <w:bCs/>
      <w:kern w:val="44"/>
      <w:sz w:val="44"/>
      <w:szCs w:val="44"/>
    </w:rPr>
  </w:style>
  <w:style w:type="paragraph" w:styleId="12">
    <w:name w:val="List Paragraph"/>
    <w:basedOn w:val="1"/>
    <w:qFormat/>
    <w:uiPriority w:val="99"/>
    <w:pPr>
      <w:widowControl w:val="0"/>
      <w:spacing w:line="240" w:lineRule="auto"/>
      <w:ind w:firstLine="42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E79EC-75E1-4D4B-B736-9E6434F3DA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9061</Words>
  <Characters>9944</Characters>
  <Lines>74</Lines>
  <Paragraphs>20</Paragraphs>
  <TotalTime>139</TotalTime>
  <ScaleCrop>false</ScaleCrop>
  <LinksUpToDate>false</LinksUpToDate>
  <CharactersWithSpaces>9960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2025-12-12T10:11:00Z</dcterms:created>
  <dc:creator>Marbor</dc:creator>
  <cp:lastModifiedBy>唐子涵</cp:lastModifiedBy>
  <cp:lastPrinted>2025-12-10T07:46:00Z</cp:lastPrinted>
  <dcterms:modified xsi:type="dcterms:W3CDTF">2025-12-16T07:56:47Z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193DCBBB756C44B492074539CA0F47E6_13</vt:lpwstr>
  </property>
  <property fmtid="{D5CDD505-2E9C-101B-9397-08002B2CF9AE}" pid="4" name="KSOTemplateDocerSaveRecord">
    <vt:lpwstr>eyJoZGlkIjoiODcwYWU1MzE0YjgzMGQ0MmJmZTE0ZTVmNWE0NDBiZDQiLCJ1c2VySWQiOiIzMTQyMjQ3OTUifQ==</vt:lpwstr>
  </property>
</Properties>
</file>