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E913B">
      <w:pPr>
        <w:spacing w:line="520" w:lineRule="exact"/>
        <w:rPr>
          <w:rFonts w:hint="eastAsia" w:ascii="方正黑体_GBK" w:hAnsi="黑体" w:eastAsia="方正黑体_GBK"/>
          <w:sz w:val="32"/>
          <w:szCs w:val="32"/>
          <w:lang w:val="en-US" w:eastAsia="zh-CN"/>
        </w:rPr>
      </w:pPr>
      <w:bookmarkStart w:id="0" w:name="_Hlk75766447"/>
      <w:bookmarkEnd w:id="0"/>
      <w:bookmarkStart w:id="1" w:name="OLE_LINK2"/>
      <w:bookmarkStart w:id="2" w:name="OLE_LINK5"/>
      <w:r>
        <w:rPr>
          <w:rFonts w:hint="eastAsia" w:ascii="方正黑体_GBK" w:hAnsi="黑体" w:eastAsia="方正黑体_GBK"/>
          <w:sz w:val="32"/>
          <w:szCs w:val="32"/>
        </w:rPr>
        <w:t>附件</w:t>
      </w:r>
      <w:r>
        <w:rPr>
          <w:rFonts w:hint="eastAsia" w:ascii="方正黑体_GBK" w:hAnsi="黑体" w:eastAsia="方正黑体_GBK"/>
          <w:sz w:val="32"/>
          <w:szCs w:val="32"/>
          <w:lang w:val="en-US" w:eastAsia="zh-CN"/>
        </w:rPr>
        <w:t>2</w:t>
      </w:r>
    </w:p>
    <w:bookmarkEnd w:id="1"/>
    <w:p w14:paraId="38A87A46">
      <w:pPr>
        <w:jc w:val="center"/>
        <w:rPr>
          <w:rFonts w:hint="eastAsia" w:ascii="黑体" w:hAnsi="黑体" w:eastAsia="黑体"/>
          <w:bCs/>
          <w:sz w:val="28"/>
          <w:szCs w:val="28"/>
        </w:rPr>
      </w:pPr>
      <w:bookmarkStart w:id="3" w:name="OLE_LINK4"/>
      <w:bookmarkStart w:id="4" w:name="OLE_LINK3"/>
      <w:r>
        <w:rPr>
          <w:rFonts w:hint="eastAsia" w:ascii="黑体" w:hAnsi="黑体" w:eastAsia="黑体"/>
          <w:bCs/>
          <w:sz w:val="28"/>
          <w:szCs w:val="28"/>
        </w:rPr>
        <w:t>重庆财经学院课程评估指标体系及标准</w:t>
      </w:r>
      <w:bookmarkEnd w:id="2"/>
      <w:bookmarkEnd w:id="3"/>
      <w:r>
        <w:rPr>
          <w:rFonts w:hint="eastAsia" w:ascii="黑体" w:hAnsi="黑体" w:eastAsia="黑体"/>
          <w:bCs/>
          <w:sz w:val="28"/>
          <w:szCs w:val="28"/>
        </w:rPr>
        <w:t>（试行）</w:t>
      </w:r>
    </w:p>
    <w:bookmarkEnd w:id="4"/>
    <w:tbl>
      <w:tblPr>
        <w:tblStyle w:val="12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1763"/>
        <w:gridCol w:w="3893"/>
        <w:gridCol w:w="3803"/>
        <w:gridCol w:w="3090"/>
      </w:tblGrid>
      <w:tr w14:paraId="43447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1B3FE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一级指标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2E652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二级指标</w:t>
            </w:r>
          </w:p>
        </w:tc>
        <w:tc>
          <w:tcPr>
            <w:tcW w:w="2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AC9D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主要观测点及等级标准</w:t>
            </w:r>
          </w:p>
        </w:tc>
        <w:tc>
          <w:tcPr>
            <w:tcW w:w="11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DB563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依据材料与评估方式</w:t>
            </w:r>
          </w:p>
        </w:tc>
      </w:tr>
      <w:tr w14:paraId="3F43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4AD3D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6D654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90DD6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A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4A2DC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C</w:t>
            </w:r>
          </w:p>
        </w:tc>
        <w:tc>
          <w:tcPr>
            <w:tcW w:w="11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89CC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9C29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CA5DA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1.课程定位与目标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345DB">
            <w:pPr>
              <w:widowControl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1.1课程定位</w:t>
            </w:r>
          </w:p>
          <w:p w14:paraId="59CBBC19">
            <w:pPr>
              <w:widowControl/>
              <w:spacing w:line="28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2"/>
                <w:szCs w:val="21"/>
              </w:rPr>
              <w:t>(3分)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BE73E">
            <w:pPr>
              <w:widowControl/>
              <w:spacing w:line="280" w:lineRule="exact"/>
              <w:ind w:right="48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课程定位准确，符合学校办学定位和人才培养目标。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31F66">
            <w:pPr>
              <w:widowControl/>
              <w:spacing w:line="280" w:lineRule="exact"/>
              <w:ind w:right="48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课程定位较准确，符合学校办学定位和人才培</w:t>
            </w:r>
            <w:r>
              <w:rPr>
                <w:rFonts w:ascii="Times New Roman" w:hAnsi="Times New Roman"/>
                <w:color w:val="000000"/>
                <w:spacing w:val="12"/>
                <w:szCs w:val="21"/>
              </w:rPr>
              <w:t>养目标。</w:t>
            </w:r>
          </w:p>
        </w:tc>
        <w:tc>
          <w:tcPr>
            <w:tcW w:w="11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858DB">
            <w:pPr>
              <w:autoSpaceDE w:val="0"/>
              <w:autoSpaceDN w:val="0"/>
              <w:adjustRightInd w:val="0"/>
              <w:spacing w:after="120"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1.课程大纲。</w:t>
            </w:r>
          </w:p>
          <w:p w14:paraId="1DB5AA5E">
            <w:pPr>
              <w:autoSpaceDE w:val="0"/>
              <w:autoSpaceDN w:val="0"/>
              <w:adjustRightInd w:val="0"/>
              <w:spacing w:after="120"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2.制定课程大纲所依据的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专业人才培养目标与毕业要求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。 </w:t>
            </w:r>
          </w:p>
          <w:p w14:paraId="5D55A5B3">
            <w:pPr>
              <w:widowControl/>
              <w:spacing w:after="120" w:line="280" w:lineRule="exact"/>
              <w:ind w:right="48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评估方式：</w:t>
            </w:r>
            <w:r>
              <w:rPr>
                <w:rFonts w:ascii="Times New Roman" w:hAnsi="Times New Roman"/>
                <w:color w:val="000000"/>
                <w:szCs w:val="21"/>
              </w:rPr>
              <w:t>查阅相关材料</w:t>
            </w:r>
          </w:p>
        </w:tc>
      </w:tr>
      <w:tr w14:paraId="578EF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C3F7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AFC4B">
            <w:pPr>
              <w:widowControl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1.2课程目标</w:t>
            </w:r>
          </w:p>
          <w:p w14:paraId="04FD70BD">
            <w:pPr>
              <w:widowControl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2"/>
                <w:szCs w:val="21"/>
              </w:rPr>
              <w:t>(3分)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AAB93">
            <w:pPr>
              <w:widowControl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课程目标与专业培养目标衔接紧密，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课程目标明确，有效支撑相关专业毕业要求。课程目标分解合理，具有可操作性。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4E0A0">
            <w:pPr>
              <w:widowControl/>
              <w:spacing w:line="280" w:lineRule="exact"/>
              <w:ind w:right="3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课程目标基本符合专业培养目标；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课程目标明确，基本支撑相关专业毕业要求。</w:t>
            </w:r>
          </w:p>
        </w:tc>
        <w:tc>
          <w:tcPr>
            <w:tcW w:w="11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A12C5">
            <w:pPr>
              <w:widowControl/>
              <w:spacing w:after="120" w:line="280" w:lineRule="exact"/>
              <w:ind w:right="36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65BA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4773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2.教学团队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F6D99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2.1课程负责人</w:t>
            </w:r>
          </w:p>
          <w:p w14:paraId="0FEC6BE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(3分)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3AD1E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课程负责人具有副高级及以上职称，有较高学术水平，经验丰富。讲授课程3轮以上。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546F1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课程负责人具有中级以上职称或硕士学位。讲授课程2轮以上。</w:t>
            </w:r>
          </w:p>
        </w:tc>
        <w:tc>
          <w:tcPr>
            <w:tcW w:w="11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F6CE2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1.主讲教师情况表（含学历学位、职称、近三年主讲本课程课时数）。</w:t>
            </w:r>
          </w:p>
          <w:p w14:paraId="14C0F212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</w:rPr>
              <w:t>评估方式：</w:t>
            </w:r>
            <w:r>
              <w:rPr>
                <w:rFonts w:hint="eastAsia" w:ascii="宋体" w:hAnsi="宋体"/>
                <w:color w:val="000000"/>
                <w:sz w:val="22"/>
              </w:rPr>
              <w:t>查阅教务系统、相关支撑材料</w:t>
            </w:r>
          </w:p>
          <w:p w14:paraId="4913597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9D09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5723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C653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2.2主讲教师</w:t>
            </w:r>
          </w:p>
          <w:p w14:paraId="33F43E7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(4分)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CE6E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主讲教师成员稳定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高级职称教师占比≥30%，具有硕士及以上学位的教师占比≥90%，中级以上职称教师占比≥80%，形成梯队。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3AC19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主讲教师人员稳定，中级以上职称教师占比≥65%，具有硕士及以上学位的教师所占比≥80%，数量基本能满足教学要求。</w:t>
            </w:r>
          </w:p>
        </w:tc>
        <w:tc>
          <w:tcPr>
            <w:tcW w:w="11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E160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9A53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96A88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8B740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2.3师德师风</w:t>
            </w:r>
          </w:p>
          <w:p w14:paraId="390AF5E8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(3分)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88F1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课程负责人与主讲教师师德好，潜心教书育人，关心爱护学生，严格遵守“十项准则”，无教学事故，无通报批评及其他违反教学管理制度的行为。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6159C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课程负责人与主讲教师师德好，教书育人，关心爱护学生，遵守“十项准则”,无教学事故。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7DA9C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</w:t>
            </w:r>
            <w:bookmarkStart w:id="5" w:name="OLE_LINK1"/>
            <w:r>
              <w:rPr>
                <w:rFonts w:ascii="Times New Roman" w:hAnsi="Times New Roman"/>
                <w:color w:val="000000"/>
                <w:szCs w:val="21"/>
              </w:rPr>
              <w:t>主讲教师近三年来所获得校级及以上优秀教师、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优秀教育工作者等</w:t>
            </w:r>
            <w:r>
              <w:rPr>
                <w:rFonts w:ascii="Times New Roman" w:hAnsi="Times New Roman"/>
                <w:color w:val="000000"/>
                <w:szCs w:val="21"/>
              </w:rPr>
              <w:t>的表彰文件。</w:t>
            </w:r>
            <w:bookmarkEnd w:id="5"/>
          </w:p>
          <w:p w14:paraId="31EA83D1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2.主讲教师开展课程思政、教书育人的典型事迹陈述。</w:t>
            </w:r>
          </w:p>
          <w:p w14:paraId="0CCFA70B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3.主讲教师近三年来获教学奖励文件、主持或参研项目立项书或结题证书、发表论文材料。</w:t>
            </w:r>
          </w:p>
          <w:p w14:paraId="15481ABA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4.教研活动资料、培养计划及实施材料、培训材料</w:t>
            </w:r>
          </w:p>
          <w:p w14:paraId="0A362139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评估方式：</w:t>
            </w:r>
            <w:r>
              <w:rPr>
                <w:rFonts w:ascii="Times New Roman" w:hAnsi="Times New Roman"/>
                <w:color w:val="000000"/>
                <w:szCs w:val="21"/>
              </w:rPr>
              <w:t>查阅材料</w:t>
            </w:r>
          </w:p>
        </w:tc>
      </w:tr>
      <w:tr w14:paraId="6BE39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7E630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6811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2.4教学水平</w:t>
            </w:r>
          </w:p>
          <w:p w14:paraId="3632943D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(4分)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DB5EF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负责人与主讲教师教学能力强，学术造诣高。获得省级及以上教学奖励排名前5位或校级教学奖励前3位，或主持与本课程相关的校级及以上教研项目至少1项，或近三年公开发表学术论文人均1篇以上(有教研论文)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9807F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课程负责人与主讲教师师德好，具备一定学术水平和教学能力，能满足教学的基本需求。获得校级教学奖励前3位，或参与1项与本课程相关的校级教研、科研项目，或近三年公开发表学术论文人均0.5篇以上。</w:t>
            </w: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3467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DE80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63E4B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07B37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教师发展</w:t>
            </w:r>
          </w:p>
          <w:p w14:paraId="4B23E11E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(3分)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02AB8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教师培养举措目标明确，青年教师导师制执行良好，开展主题教研活动，举办示范课、公开课，效果明显。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3A11E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有教师培养举措，有教研活动开展，开展集体备课。</w:t>
            </w: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8F8A7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8688D0C">
        <w:tc>
          <w:tcPr>
            <w:tcW w:w="1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0A850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3.课程资源与条件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60EDC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3.1教学大纲</w:t>
            </w:r>
          </w:p>
          <w:p w14:paraId="79E4C2E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(6分)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5B524">
            <w:pPr>
              <w:pStyle w:val="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课程教学大纲充分体现课程教学目标要求，</w:t>
            </w:r>
            <w:r>
              <w:rPr>
                <w:rFonts w:hint="eastAsia"/>
              </w:rPr>
              <w:t>教学内容、教学方法、课程考核有效支撑毕业要求达成</w:t>
            </w:r>
            <w:r>
              <w:rPr>
                <w:rFonts w:ascii="Times New Roman" w:hAnsi="Times New Roman"/>
                <w:color w:val="000000"/>
                <w:szCs w:val="21"/>
              </w:rPr>
              <w:t>；融入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OBE</w:t>
            </w:r>
            <w:r>
              <w:rPr>
                <w:rFonts w:ascii="Times New Roman" w:hAnsi="Times New Roman"/>
                <w:color w:val="000000"/>
                <w:szCs w:val="21"/>
              </w:rPr>
              <w:t>教育理念，教学各环节设计注重学生能力培养；内容科学系统、重点难点突出，进度安排得当；课程教学大纲执行情况好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Cs w:val="21"/>
              </w:rPr>
              <w:t>实验大纲设计合理，实验开出率高，符合人才培养要求。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2F9EC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课程教学大纲能基本体现课程教学目标要求；教学各环节项目较完整，内容要求较明确，重点难点较突出，进度安排比较得当；课程教学大纲得到基本执行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实验大纲设计合理，基本符合人才培养需要。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AB663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1.教学大纲（实验教学大纲）、教案、教材。</w:t>
            </w:r>
          </w:p>
          <w:p w14:paraId="7EC3E421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 w:val="22"/>
              </w:rPr>
              <w:t>实验开出率统计结果、综合性、设计性认定材料及占比统计结果</w:t>
            </w:r>
            <w:r>
              <w:rPr>
                <w:rFonts w:ascii="Times New Roman" w:hAnsi="Times New Roman"/>
                <w:color w:val="000000"/>
                <w:szCs w:val="21"/>
              </w:rPr>
              <w:t>。</w:t>
            </w:r>
          </w:p>
          <w:p w14:paraId="3C13C2F8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3.专业人才培养方案。</w:t>
            </w:r>
          </w:p>
          <w:p w14:paraId="5D2B7D08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评估方式：</w:t>
            </w:r>
            <w:r>
              <w:rPr>
                <w:rFonts w:ascii="Times New Roman" w:hAnsi="Times New Roman"/>
                <w:color w:val="000000"/>
                <w:szCs w:val="21"/>
              </w:rPr>
              <w:t>查阅材料</w:t>
            </w:r>
          </w:p>
        </w:tc>
      </w:tr>
      <w:tr w14:paraId="3EF87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7E9D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2A6D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3.2教案</w:t>
            </w:r>
          </w:p>
          <w:p w14:paraId="7E572F6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(6分)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1EC76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教学设计科学、规范，内容，体现先进教育理念，突出应用型人才培养要求。教案包括目标、重点和难点、学情分析、课程思政等。重点教学环节有具体措施来体现相关教学理念。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962AE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有教学设计，体现应用型人才培养要求。</w:t>
            </w: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B71C6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2168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BB62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70D44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3.3教材选用与建设</w:t>
            </w:r>
          </w:p>
          <w:p w14:paraId="3324DE84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(3分)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94EB0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教材能有效支撑课程教学内容，优先选用马工程教材、国家级规划教材、获国家及省部级以上奖励的高水平教材或学校立项的优秀自编教材。有教学参考资料(含参考书、实践环节指导书、习题集、自编讲义等),使用率较高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C7C8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教材选用符合学校规定，程序规范，选用国家级或省部级规划教材，或选用代表学科发展前沿的正式出版的自编教材。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1D833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1.近两年本课程选用的省部级及以上的优秀教材。</w:t>
            </w:r>
          </w:p>
          <w:p w14:paraId="40600D38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2.近两年本课程教师自编的教材或自编教辅材料。</w:t>
            </w:r>
          </w:p>
          <w:p w14:paraId="3FE7FE60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评估方式：</w:t>
            </w:r>
            <w:r>
              <w:rPr>
                <w:rFonts w:hint="eastAsia" w:ascii="宋体" w:hAnsi="宋体"/>
                <w:color w:val="000000"/>
                <w:szCs w:val="21"/>
              </w:rPr>
              <w:t>查阅相关材料</w:t>
            </w:r>
          </w:p>
        </w:tc>
      </w:tr>
      <w:tr w14:paraId="216BB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C0947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CDAF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3.4网络教学资源(3分)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9C87F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在课程资源的数字化、网络化和开放共享等方面取得一定成效，能积极运用并更新学校课程平台，切实发挥网络教学资源辅教辅学功能，满足教师教学和学生学习的需要；积极探索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建立</w:t>
            </w:r>
            <w:r>
              <w:rPr>
                <w:rFonts w:ascii="Times New Roman" w:hAnsi="Times New Roman"/>
                <w:color w:val="000000"/>
                <w:szCs w:val="21"/>
              </w:rPr>
              <w:t>数字化教学资源及课程试题库建设，满足学生自主学习需要。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D669B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建设有网络教学资源，定期更新，能够为学生提供自主学习的资料，共享学习资源。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64A89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网络教学资源（电子教案、课件、教学大纲、实验指导、自主学习、视频资源、题库等），本课程网络教学资源硬件设施及运用情况说明材料。</w:t>
            </w:r>
          </w:p>
          <w:p w14:paraId="5FE64ED9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</w:rPr>
              <w:t>评估方式：</w:t>
            </w:r>
            <w:r>
              <w:rPr>
                <w:rFonts w:hint="eastAsia" w:ascii="宋体" w:hAnsi="宋体"/>
                <w:color w:val="000000"/>
                <w:sz w:val="22"/>
              </w:rPr>
              <w:t>查阅材料、学生问卷调查与查看课程网站。</w:t>
            </w:r>
          </w:p>
        </w:tc>
      </w:tr>
      <w:tr w14:paraId="152FC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FD9F5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96C11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3.5实践教学条件(4分)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37668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实验室及实验教学设施能满足本课程实验教学需要，有满足本课程需要的校内外实习基地。实践资源丰富，满足教学要求，利用率高，教学效果好，管理制度完善，学生实践教学过程记录和材料完整规范。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2506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具有基本的课程实践教学条件和资源，基本满足教学需要。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2F9A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1.支撑课程的实验教学软件、实验室、</w:t>
            </w:r>
            <w:r>
              <w:rPr>
                <w:rFonts w:ascii="Times New Roman" w:hAnsi="Times New Roman"/>
                <w:color w:val="000000"/>
                <w:szCs w:val="21"/>
              </w:rPr>
              <w:t>校外实践基地使用情况表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及相关材料</w:t>
            </w:r>
            <w:r>
              <w:rPr>
                <w:rFonts w:ascii="Times New Roman" w:hAnsi="Times New Roman"/>
                <w:color w:val="000000"/>
                <w:szCs w:val="21"/>
              </w:rPr>
              <w:t>。</w:t>
            </w:r>
          </w:p>
          <w:p w14:paraId="0BE02FAC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能够反映本课程实践活动的相关证明。</w:t>
            </w:r>
          </w:p>
          <w:p w14:paraId="32918F3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评估方式：</w:t>
            </w:r>
            <w:r>
              <w:rPr>
                <w:rFonts w:ascii="Times New Roman" w:hAnsi="Times New Roman"/>
                <w:color w:val="000000"/>
                <w:szCs w:val="21"/>
              </w:rPr>
              <w:t>查阅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相关</w:t>
            </w:r>
            <w:r>
              <w:rPr>
                <w:rFonts w:ascii="Times New Roman" w:hAnsi="Times New Roman"/>
                <w:color w:val="000000"/>
                <w:szCs w:val="21"/>
              </w:rPr>
              <w:t>材料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（无实践教学环节的课程不评估此项，分值列入其他四个项目）</w:t>
            </w:r>
          </w:p>
        </w:tc>
      </w:tr>
      <w:tr w14:paraId="6C2E1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840BD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4.课程教学过程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8927D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4.1教学安排</w:t>
            </w:r>
          </w:p>
          <w:p w14:paraId="69789A9A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CFF3F0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课程教学授课计划符合学校要求，要素齐全，详略得当。教学进度安排合理，课堂讲授、课堂讨论安排合理。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E30E8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课程教学授课计划符合学校规范，要素齐全。教学进度安排合理，适度安排课堂讲授、课堂讨论等教学形式。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6EB48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</w:rPr>
              <w:t>.授课计划、教案、教学日志。</w:t>
            </w:r>
          </w:p>
          <w:p w14:paraId="30ECE912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2.教改专项材料。</w:t>
            </w:r>
          </w:p>
          <w:p w14:paraId="0BB62F0F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3.课程自评报告中关于教学内容更新、优化整合、体现前沿性、时代性、挑战性的陈述。</w:t>
            </w:r>
          </w:p>
          <w:p w14:paraId="67380BEB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</w:rPr>
              <w:t>评估方式：</w:t>
            </w:r>
            <w:r>
              <w:rPr>
                <w:rFonts w:hint="eastAsia" w:ascii="宋体" w:hAnsi="宋体"/>
                <w:color w:val="000000"/>
                <w:sz w:val="22"/>
              </w:rPr>
              <w:t>查阅相关材料与专家随机听课、学生问卷调查</w:t>
            </w:r>
          </w:p>
        </w:tc>
      </w:tr>
      <w:tr w14:paraId="335FF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54436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69187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4.2教学内容</w:t>
            </w:r>
          </w:p>
          <w:p w14:paraId="6DD9AD9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4CFD2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依据学科前沿动态与社会发展需求动态主动更新教学内容，符合“高阶性、创新性、挑战度”要求，充分体现应用性，把产教融合成果、科研成果、生产案例等引入教学；培养学生创新能力和实践能力的举措到位，成效明显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58907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有跟踪学科前沿动态与社会发展需求动态更新教学内容的意识，教学内容符合人才培养要求，有体现“高阶性、创新性、挑战度”的教学内容，注重实践能力和创新精神培养。</w:t>
            </w: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68DF0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4D8A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DE7CB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27FFE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4.3教学方法与手段(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4F3EF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堂教学坚持以学生为中心的理念，注重课内学习和课外探究结合，教学语言规范标准，富有感染力；合理选择、灵活有效地运用讨论式、启发式、案例式等多种形式的教学手段，有效达成课程教学目标，教学效果好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F0EA8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体现学生中心理念，教学语言比较规范，开展更新教学手段探索，教学目标基本达成。</w:t>
            </w: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24689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B94D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FB60B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79E96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4.4课程思政</w:t>
            </w:r>
          </w:p>
          <w:p w14:paraId="142BAB20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(4分)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09ACD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充分挖掘本课程所蕴含的思政元素，有完整的课程思政教学指南，有数量充分、质量高的自编课程思政案例库。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FA2CF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教学中体现课程思政意识，有课程思政教学案例。</w:t>
            </w: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5AE19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C169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CD3A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1EB32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4.5作业与辅导</w:t>
            </w:r>
          </w:p>
          <w:p w14:paraId="4218922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(4分)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B32AA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作业布置恰当，有一定难度，学生完成情况好，教师批改及时、认真；教师课后定期辅导、答疑、指导或通过网络与学生进行经常性互动交流，学生参与踊跃，反映良好。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37775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作业布置基本恰当，大部分学生能按时完成，教师有批改，学生作业收交和作业质量情况有记录；</w:t>
            </w:r>
          </w:p>
          <w:p w14:paraId="7ACA72D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教师课后对学生有辅导、答疑、指导或通过网络与学生进行互动交流。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533F8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1.本课程学生作业范本。</w:t>
            </w:r>
          </w:p>
          <w:p w14:paraId="33C7870A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2.教师课后定期辅导、答疑、指导的材料。</w:t>
            </w:r>
          </w:p>
          <w:p w14:paraId="08944B3A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评估方式：</w:t>
            </w:r>
            <w:r>
              <w:rPr>
                <w:rFonts w:hint="eastAsia" w:ascii="宋体" w:hAnsi="宋体"/>
                <w:color w:val="000000"/>
                <w:szCs w:val="21"/>
              </w:rPr>
              <w:t>查阅</w:t>
            </w:r>
            <w:r>
              <w:rPr>
                <w:rFonts w:hint="eastAsia" w:ascii="宋体" w:hAnsi="宋体"/>
                <w:color w:val="000000"/>
                <w:sz w:val="22"/>
              </w:rPr>
              <w:t>相关</w:t>
            </w:r>
            <w:r>
              <w:rPr>
                <w:rFonts w:hint="eastAsia" w:ascii="宋体" w:hAnsi="宋体"/>
                <w:color w:val="000000"/>
                <w:szCs w:val="21"/>
              </w:rPr>
              <w:t>材料与学生问卷调查</w:t>
            </w:r>
          </w:p>
        </w:tc>
      </w:tr>
      <w:tr w14:paraId="4C907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A5FB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725A2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4.5命题与考核</w:t>
            </w:r>
          </w:p>
          <w:p w14:paraId="3FCB8122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(5分)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5C18D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科学的考核方案，积极开展考核改革，体现知识与能力考核并重的多元化考核评价，强化实践环节考核，考核标准科学、规范，有一定特色；命题科学严谨，题型多样，深度、广度、挑战度兼顾，重视知识综合运用能力、问题解决能力和实践操作能力的考查，试卷题量和质量符合课程目标要求；评分标准科学、合理、规范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F340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有考核方案，依据课程目标及要求，进行过程性考核改革，成绩评定等符合要求；命题规范，内容覆盖面广，符合大纲要求，有一定综合能力测试题型，内容重复率合乎规定。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B1F3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1.自评报告中关于课程考核方法改革及其成效、学生</w:t>
            </w:r>
            <w:r>
              <w:rPr>
                <w:rFonts w:hint="eastAsia" w:ascii="宋体" w:hAnsi="宋体"/>
                <w:color w:val="000000"/>
                <w:szCs w:val="21"/>
              </w:rPr>
              <w:t>平时成绩评分办法、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执行学校考核制度</w:t>
            </w:r>
            <w:r>
              <w:rPr>
                <w:rFonts w:hint="eastAsia" w:ascii="宋体" w:hAnsi="宋体"/>
                <w:color w:val="000000"/>
                <w:sz w:val="22"/>
              </w:rPr>
              <w:t>的陈述。</w:t>
            </w:r>
          </w:p>
          <w:p w14:paraId="0AEA8AA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2.近两年本课程考核资料及学生成绩分析表。</w:t>
            </w:r>
          </w:p>
          <w:p w14:paraId="62D60F8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 w14:paraId="491F3065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评估方式：</w:t>
            </w:r>
            <w:r>
              <w:rPr>
                <w:rFonts w:hint="eastAsia" w:ascii="宋体" w:hAnsi="宋体"/>
                <w:color w:val="000000"/>
                <w:szCs w:val="21"/>
              </w:rPr>
              <w:t>调阅近两年课程考核材料。</w:t>
            </w:r>
          </w:p>
        </w:tc>
      </w:tr>
      <w:tr w14:paraId="3EDC2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55B6B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10B0A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4.6考核档案</w:t>
            </w:r>
          </w:p>
          <w:p w14:paraId="7331391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(5分)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781D1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考核材料符合学校关于课程考核工作的相关要求，试卷批阅规范，按评阅标准执行、无瑕疵，平时成绩依据的材料真实、齐全，试卷分析内容具体、问题剖析到位，体现持续改进。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C08C4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课程考核、成绩评定、试卷批阅、试卷分析及考核材料归档符合学校关于考核工作的相关要求。</w:t>
            </w: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918E0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244A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E876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5.课程教学质量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E52B6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5.1学生评价</w:t>
            </w:r>
          </w:p>
          <w:p w14:paraId="12880276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Cs w:val="21"/>
              </w:rPr>
              <w:t>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3238A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近两年该课程主讲教师的学生评价成绩在全院排名前20%。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72139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近两年该课程主讲教师的学生评价成绩在全院排名40-60%。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27B79">
            <w:pPr>
              <w:tabs>
                <w:tab w:val="left" w:pos="312"/>
              </w:tabs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 w:val="22"/>
              </w:rPr>
              <w:t>近两年本课程主讲教师的学生评教分。</w:t>
            </w:r>
          </w:p>
          <w:p w14:paraId="1F979CD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 w:val="22"/>
              </w:rPr>
              <w:t>近两年本课程主讲教师的校级教学督导评教分。</w:t>
            </w:r>
          </w:p>
          <w:p w14:paraId="16697DD7"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 w:val="22"/>
              </w:rPr>
              <w:t>近一年本课程主讲教师的院系领导、院教学督导评价平均分及在本学院排名情况</w:t>
            </w:r>
          </w:p>
          <w:p w14:paraId="680D5361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评估方式：</w:t>
            </w:r>
            <w:r>
              <w:rPr>
                <w:rFonts w:hint="eastAsia" w:ascii="宋体" w:hAnsi="宋体"/>
                <w:color w:val="000000"/>
                <w:szCs w:val="21"/>
              </w:rPr>
              <w:t>查阅相关材料</w:t>
            </w:r>
          </w:p>
        </w:tc>
      </w:tr>
      <w:tr w14:paraId="0AC9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2589C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E4744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5.2督导评价</w:t>
            </w:r>
          </w:p>
          <w:p w14:paraId="5B50D970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28071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近两年该课程督导评价成绩在全院排名前20%。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65854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近两年该课程督导评价成绩在全院排名40-60%。</w:t>
            </w:r>
          </w:p>
        </w:tc>
        <w:tc>
          <w:tcPr>
            <w:tcW w:w="1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749D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AF95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351E5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9BAB8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5.3同行评价</w:t>
            </w:r>
          </w:p>
          <w:p w14:paraId="7F6D20B2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(2分)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C569C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近两年该课程学院同行评价成绩在全院排名前20%。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3619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近两年该课程学院同行评价成绩在全院排名40-60%。</w:t>
            </w:r>
          </w:p>
        </w:tc>
        <w:tc>
          <w:tcPr>
            <w:tcW w:w="1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372D5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62DA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6101C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4F7BD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5.4教学目标达成度(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0C0EA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1.对课程目标达成情况有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合理</w:t>
            </w:r>
            <w:r>
              <w:rPr>
                <w:rFonts w:ascii="Times New Roman" w:hAnsi="Times New Roman"/>
                <w:color w:val="000000"/>
                <w:szCs w:val="21"/>
              </w:rPr>
              <w:t>的分析和评价；</w:t>
            </w:r>
          </w:p>
          <w:p w14:paraId="3F358DC6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2.课程教学目标达成度高。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CCAB0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1.对课程目标达成情况有分析和评价；</w:t>
            </w:r>
          </w:p>
          <w:p w14:paraId="284868AD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2.课程教学目标达成度较好。</w:t>
            </w:r>
          </w:p>
        </w:tc>
        <w:tc>
          <w:tcPr>
            <w:tcW w:w="1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48B2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1.试卷分析表</w:t>
            </w:r>
          </w:p>
          <w:p w14:paraId="66BBADB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2.自评报告中关于针对本课程教学的不足，采取相关改进措施，提升学生学习效果的陈述。</w:t>
            </w:r>
          </w:p>
          <w:p w14:paraId="49031446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评估方式：</w:t>
            </w:r>
            <w:r>
              <w:rPr>
                <w:rFonts w:hint="eastAsia" w:ascii="宋体" w:hAnsi="宋体"/>
                <w:color w:val="000000"/>
                <w:szCs w:val="21"/>
              </w:rPr>
              <w:t>查阅相关材料</w:t>
            </w:r>
          </w:p>
        </w:tc>
      </w:tr>
      <w:tr w14:paraId="69B5A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47BE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3558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5.5持续改进措施与效果（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5878A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建立起有效的持续改进机制；课程教学质量提升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明显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DB55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建立有持续改进机制；课程教学质量提升有一定成效。</w:t>
            </w:r>
          </w:p>
        </w:tc>
        <w:tc>
          <w:tcPr>
            <w:tcW w:w="1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390C5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CA9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26F88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6.特色项目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DA15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6.1课程特色</w:t>
            </w:r>
          </w:p>
          <w:p w14:paraId="30E3D7BB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(6分)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7F933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课程在深化教学改革、教学团队建设、教学方法与手段、考核方式改革、学生学习效果等方面有鲜明特色，成效显著。体现了该课程的最新发展，能体现现代教育思想，被国内专家和社会公认的特色。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FF252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课程在深化教学改革、教学团队建设、教学方法与手段、考核方式改革、学生学习效果等方面不断完善和改进。该课程略有特色。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FF0A1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1.教改获奖、团队获奖、教学成果奖、学生竞赛获奖等文件。</w:t>
            </w:r>
          </w:p>
          <w:p w14:paraId="353F3D36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典型</w:t>
            </w:r>
            <w:r>
              <w:rPr>
                <w:rFonts w:ascii="Times New Roman" w:hAnsi="Times New Roman"/>
                <w:color w:val="000000"/>
                <w:szCs w:val="21"/>
              </w:rPr>
              <w:t>案例。</w:t>
            </w:r>
          </w:p>
          <w:p w14:paraId="561C0999">
            <w:pPr>
              <w:spacing w:after="120"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评估方式</w:t>
            </w:r>
            <w:r>
              <w:rPr>
                <w:rFonts w:ascii="Times New Roman" w:hAnsi="Times New Roman"/>
                <w:color w:val="000000"/>
                <w:szCs w:val="21"/>
              </w:rPr>
              <w:t>：查阅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相关</w:t>
            </w:r>
            <w:r>
              <w:rPr>
                <w:rFonts w:ascii="Times New Roman" w:hAnsi="Times New Roman"/>
                <w:color w:val="000000"/>
                <w:szCs w:val="21"/>
              </w:rPr>
              <w:t>材料</w:t>
            </w:r>
          </w:p>
        </w:tc>
      </w:tr>
    </w:tbl>
    <w:p w14:paraId="3267B436">
      <w:pPr>
        <w:widowControl/>
        <w:jc w:val="left"/>
        <w:rPr>
          <w:rFonts w:ascii="Times New Roman" w:hAnsi="Times New Roman"/>
        </w:rPr>
      </w:pPr>
    </w:p>
    <w:p w14:paraId="704B9938">
      <w:bookmarkStart w:id="6" w:name="_GoBack"/>
      <w:bookmarkEnd w:id="6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69C2E0-7471-4C4E-88E8-1E8C418D9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2D00BF7-83C1-4ED1-B928-B24AB54B30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5461D">
    <w:pPr>
      <w:pStyle w:val="8"/>
      <w:numPr>
        <w:ilvl w:val="0"/>
        <w:numId w:val="1"/>
      </w:numPr>
      <w:wordWrap w:val="0"/>
      <w:jc w:val="right"/>
      <w:rPr>
        <w:rFonts w:hint="eastAsia"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793195773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7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</w:t>
        </w:r>
      </w:sdtContent>
    </w:sdt>
    <w:r>
      <w:rPr>
        <w:rFonts w:ascii="宋体" w:hAnsi="宋体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3C556">
    <w:pPr>
      <w:pStyle w:val="8"/>
      <w:numPr>
        <w:ilvl w:val="0"/>
        <w:numId w:val="2"/>
      </w:numPr>
      <w:rPr>
        <w:rFonts w:hint="eastAsia"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975191168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-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58D4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262C5"/>
    <w:multiLevelType w:val="multilevel"/>
    <w:tmpl w:val="0F1262C5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5F2D66"/>
    <w:multiLevelType w:val="multilevel"/>
    <w:tmpl w:val="415F2D66"/>
    <w:lvl w:ilvl="0" w:tentative="0">
      <w:start w:val="0"/>
      <w:numFmt w:val="bullet"/>
      <w:lvlText w:val="-"/>
      <w:lvlJc w:val="left"/>
      <w:pPr>
        <w:ind w:left="64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M2JjYTI3OTg1MmQyMTNkNDc4Y2U5YWQxYWY5ZmMifQ=="/>
    <w:docVar w:name="KGWebUrl" w:val="http://oa.cqrz.edu.cn/sys/attachment/sys_att_main/jg_service.jsp"/>
  </w:docVars>
  <w:rsids>
    <w:rsidRoot w:val="00AC677F"/>
    <w:rsid w:val="000105E2"/>
    <w:rsid w:val="000124A5"/>
    <w:rsid w:val="00024995"/>
    <w:rsid w:val="00031A07"/>
    <w:rsid w:val="0005062D"/>
    <w:rsid w:val="00054D6D"/>
    <w:rsid w:val="00060B26"/>
    <w:rsid w:val="00063487"/>
    <w:rsid w:val="00083349"/>
    <w:rsid w:val="00085BED"/>
    <w:rsid w:val="000A0A2A"/>
    <w:rsid w:val="000A5C20"/>
    <w:rsid w:val="000D4ADF"/>
    <w:rsid w:val="000D52B8"/>
    <w:rsid w:val="000D6482"/>
    <w:rsid w:val="000F13F5"/>
    <w:rsid w:val="00112A26"/>
    <w:rsid w:val="001324D9"/>
    <w:rsid w:val="00143D2E"/>
    <w:rsid w:val="00146AE8"/>
    <w:rsid w:val="00157B6B"/>
    <w:rsid w:val="00164251"/>
    <w:rsid w:val="00175094"/>
    <w:rsid w:val="00175AFC"/>
    <w:rsid w:val="001777C6"/>
    <w:rsid w:val="00181D22"/>
    <w:rsid w:val="001910E4"/>
    <w:rsid w:val="00196469"/>
    <w:rsid w:val="00197435"/>
    <w:rsid w:val="001D0F1F"/>
    <w:rsid w:val="001D3BA0"/>
    <w:rsid w:val="001E0F98"/>
    <w:rsid w:val="001F3159"/>
    <w:rsid w:val="00215570"/>
    <w:rsid w:val="002276FA"/>
    <w:rsid w:val="00240A78"/>
    <w:rsid w:val="0024276A"/>
    <w:rsid w:val="00244E3A"/>
    <w:rsid w:val="0025545C"/>
    <w:rsid w:val="0025603E"/>
    <w:rsid w:val="00265637"/>
    <w:rsid w:val="002658C9"/>
    <w:rsid w:val="0026639A"/>
    <w:rsid w:val="00266F98"/>
    <w:rsid w:val="00287058"/>
    <w:rsid w:val="00287E75"/>
    <w:rsid w:val="00292C94"/>
    <w:rsid w:val="002974DC"/>
    <w:rsid w:val="002B193D"/>
    <w:rsid w:val="002F0816"/>
    <w:rsid w:val="002F5201"/>
    <w:rsid w:val="0031590C"/>
    <w:rsid w:val="00342920"/>
    <w:rsid w:val="003461FF"/>
    <w:rsid w:val="00346FBC"/>
    <w:rsid w:val="003753D5"/>
    <w:rsid w:val="003845B7"/>
    <w:rsid w:val="00395B75"/>
    <w:rsid w:val="003B2808"/>
    <w:rsid w:val="003D15AD"/>
    <w:rsid w:val="003E3811"/>
    <w:rsid w:val="003F22B7"/>
    <w:rsid w:val="004040AB"/>
    <w:rsid w:val="00414842"/>
    <w:rsid w:val="00482E26"/>
    <w:rsid w:val="004A7D5B"/>
    <w:rsid w:val="004D2CCD"/>
    <w:rsid w:val="00502AA5"/>
    <w:rsid w:val="00503A14"/>
    <w:rsid w:val="005205B7"/>
    <w:rsid w:val="0053406C"/>
    <w:rsid w:val="00535B4C"/>
    <w:rsid w:val="005370FB"/>
    <w:rsid w:val="005660A8"/>
    <w:rsid w:val="00573C26"/>
    <w:rsid w:val="00580E9D"/>
    <w:rsid w:val="005927D3"/>
    <w:rsid w:val="005B58D1"/>
    <w:rsid w:val="005C28F6"/>
    <w:rsid w:val="005C2F62"/>
    <w:rsid w:val="005F6A21"/>
    <w:rsid w:val="005F7AA1"/>
    <w:rsid w:val="00601949"/>
    <w:rsid w:val="0060367C"/>
    <w:rsid w:val="006104AE"/>
    <w:rsid w:val="00622706"/>
    <w:rsid w:val="00644909"/>
    <w:rsid w:val="0066409C"/>
    <w:rsid w:val="006762BA"/>
    <w:rsid w:val="006768C7"/>
    <w:rsid w:val="0067780D"/>
    <w:rsid w:val="00680D7F"/>
    <w:rsid w:val="006836A4"/>
    <w:rsid w:val="00691D55"/>
    <w:rsid w:val="00693A39"/>
    <w:rsid w:val="006A12A1"/>
    <w:rsid w:val="006A582B"/>
    <w:rsid w:val="006B2675"/>
    <w:rsid w:val="006B4459"/>
    <w:rsid w:val="006B78CD"/>
    <w:rsid w:val="006D1948"/>
    <w:rsid w:val="006D26F4"/>
    <w:rsid w:val="006E047F"/>
    <w:rsid w:val="006F1321"/>
    <w:rsid w:val="007144AD"/>
    <w:rsid w:val="00724FB3"/>
    <w:rsid w:val="007271A4"/>
    <w:rsid w:val="007328EB"/>
    <w:rsid w:val="00737D0A"/>
    <w:rsid w:val="00742F07"/>
    <w:rsid w:val="00744C53"/>
    <w:rsid w:val="00752024"/>
    <w:rsid w:val="00755D17"/>
    <w:rsid w:val="00762B86"/>
    <w:rsid w:val="007674DE"/>
    <w:rsid w:val="00775D55"/>
    <w:rsid w:val="00777EF7"/>
    <w:rsid w:val="007844B0"/>
    <w:rsid w:val="00785158"/>
    <w:rsid w:val="00796460"/>
    <w:rsid w:val="007A4E99"/>
    <w:rsid w:val="007A5152"/>
    <w:rsid w:val="007A61B4"/>
    <w:rsid w:val="007C556D"/>
    <w:rsid w:val="007D2DEC"/>
    <w:rsid w:val="008126E7"/>
    <w:rsid w:val="00813B24"/>
    <w:rsid w:val="00820849"/>
    <w:rsid w:val="00822786"/>
    <w:rsid w:val="00824751"/>
    <w:rsid w:val="008354D8"/>
    <w:rsid w:val="00842EEB"/>
    <w:rsid w:val="00843D91"/>
    <w:rsid w:val="00853B50"/>
    <w:rsid w:val="00861124"/>
    <w:rsid w:val="008702F0"/>
    <w:rsid w:val="008851A8"/>
    <w:rsid w:val="008B1B37"/>
    <w:rsid w:val="008B62FA"/>
    <w:rsid w:val="008B6D54"/>
    <w:rsid w:val="008B6E6F"/>
    <w:rsid w:val="008C4982"/>
    <w:rsid w:val="008D25AF"/>
    <w:rsid w:val="008E6F3C"/>
    <w:rsid w:val="008F276E"/>
    <w:rsid w:val="00920574"/>
    <w:rsid w:val="00931BEB"/>
    <w:rsid w:val="00936CA0"/>
    <w:rsid w:val="00957943"/>
    <w:rsid w:val="00963F96"/>
    <w:rsid w:val="009753FF"/>
    <w:rsid w:val="00985271"/>
    <w:rsid w:val="00985D86"/>
    <w:rsid w:val="009A408B"/>
    <w:rsid w:val="009A58AB"/>
    <w:rsid w:val="009B1BB7"/>
    <w:rsid w:val="009F2F8F"/>
    <w:rsid w:val="009F7905"/>
    <w:rsid w:val="00A01D40"/>
    <w:rsid w:val="00A02EB7"/>
    <w:rsid w:val="00A14173"/>
    <w:rsid w:val="00A15D9C"/>
    <w:rsid w:val="00A17779"/>
    <w:rsid w:val="00A21C0A"/>
    <w:rsid w:val="00A2540D"/>
    <w:rsid w:val="00A350A9"/>
    <w:rsid w:val="00A35293"/>
    <w:rsid w:val="00A4156A"/>
    <w:rsid w:val="00A5651E"/>
    <w:rsid w:val="00A57A12"/>
    <w:rsid w:val="00A74D8A"/>
    <w:rsid w:val="00A86C6A"/>
    <w:rsid w:val="00A87E1B"/>
    <w:rsid w:val="00AB03CE"/>
    <w:rsid w:val="00AC677F"/>
    <w:rsid w:val="00AE2B7A"/>
    <w:rsid w:val="00AE6220"/>
    <w:rsid w:val="00AF2A2A"/>
    <w:rsid w:val="00AF3863"/>
    <w:rsid w:val="00B04C34"/>
    <w:rsid w:val="00B132FB"/>
    <w:rsid w:val="00B31ED4"/>
    <w:rsid w:val="00B35F9E"/>
    <w:rsid w:val="00B6773F"/>
    <w:rsid w:val="00B81A79"/>
    <w:rsid w:val="00B93179"/>
    <w:rsid w:val="00B9357D"/>
    <w:rsid w:val="00BA33EC"/>
    <w:rsid w:val="00BA6364"/>
    <w:rsid w:val="00BB0F31"/>
    <w:rsid w:val="00BC283A"/>
    <w:rsid w:val="00BC4BA2"/>
    <w:rsid w:val="00BE4A6C"/>
    <w:rsid w:val="00C062A1"/>
    <w:rsid w:val="00C16058"/>
    <w:rsid w:val="00C401F7"/>
    <w:rsid w:val="00C4344D"/>
    <w:rsid w:val="00C468F2"/>
    <w:rsid w:val="00C931A6"/>
    <w:rsid w:val="00C95270"/>
    <w:rsid w:val="00CA51F4"/>
    <w:rsid w:val="00CD10D6"/>
    <w:rsid w:val="00CD7992"/>
    <w:rsid w:val="00CE0066"/>
    <w:rsid w:val="00CE32A9"/>
    <w:rsid w:val="00CE34A1"/>
    <w:rsid w:val="00D11858"/>
    <w:rsid w:val="00D13624"/>
    <w:rsid w:val="00D17779"/>
    <w:rsid w:val="00D20B87"/>
    <w:rsid w:val="00D350C4"/>
    <w:rsid w:val="00D3680C"/>
    <w:rsid w:val="00D748B2"/>
    <w:rsid w:val="00D81C46"/>
    <w:rsid w:val="00D84984"/>
    <w:rsid w:val="00D919FF"/>
    <w:rsid w:val="00D943C4"/>
    <w:rsid w:val="00D96894"/>
    <w:rsid w:val="00DA06CD"/>
    <w:rsid w:val="00DA1077"/>
    <w:rsid w:val="00DA1A8E"/>
    <w:rsid w:val="00DA6247"/>
    <w:rsid w:val="00DB46AC"/>
    <w:rsid w:val="00DB52AA"/>
    <w:rsid w:val="00E112B5"/>
    <w:rsid w:val="00E112F9"/>
    <w:rsid w:val="00E22479"/>
    <w:rsid w:val="00E32E7D"/>
    <w:rsid w:val="00E57278"/>
    <w:rsid w:val="00E920D1"/>
    <w:rsid w:val="00E92349"/>
    <w:rsid w:val="00E9656A"/>
    <w:rsid w:val="00EA0EB4"/>
    <w:rsid w:val="00EB41CC"/>
    <w:rsid w:val="00ED43ED"/>
    <w:rsid w:val="00EE4D04"/>
    <w:rsid w:val="00EE7F62"/>
    <w:rsid w:val="00EF28C7"/>
    <w:rsid w:val="00EF5705"/>
    <w:rsid w:val="00EF58B2"/>
    <w:rsid w:val="00F111B4"/>
    <w:rsid w:val="00F370F1"/>
    <w:rsid w:val="00F413D2"/>
    <w:rsid w:val="00F42F31"/>
    <w:rsid w:val="00F47341"/>
    <w:rsid w:val="00F5712E"/>
    <w:rsid w:val="00F63A71"/>
    <w:rsid w:val="00F942D1"/>
    <w:rsid w:val="00FB4E38"/>
    <w:rsid w:val="00FB794D"/>
    <w:rsid w:val="00FD2A35"/>
    <w:rsid w:val="00FD3B60"/>
    <w:rsid w:val="00FD4BDB"/>
    <w:rsid w:val="017844CE"/>
    <w:rsid w:val="01887AC4"/>
    <w:rsid w:val="02034DD8"/>
    <w:rsid w:val="02905E9E"/>
    <w:rsid w:val="02A632CC"/>
    <w:rsid w:val="040C5A1A"/>
    <w:rsid w:val="04205CFF"/>
    <w:rsid w:val="04C2125A"/>
    <w:rsid w:val="069A256E"/>
    <w:rsid w:val="06AD191C"/>
    <w:rsid w:val="08606397"/>
    <w:rsid w:val="08D03003"/>
    <w:rsid w:val="08F077E0"/>
    <w:rsid w:val="09585E3E"/>
    <w:rsid w:val="09835EDD"/>
    <w:rsid w:val="0A6D5F8F"/>
    <w:rsid w:val="0B0E6FCD"/>
    <w:rsid w:val="0B925AA8"/>
    <w:rsid w:val="0C985340"/>
    <w:rsid w:val="0D37282C"/>
    <w:rsid w:val="0E3B08A1"/>
    <w:rsid w:val="10812577"/>
    <w:rsid w:val="11C121A9"/>
    <w:rsid w:val="134B76DA"/>
    <w:rsid w:val="1359421F"/>
    <w:rsid w:val="13E74BE6"/>
    <w:rsid w:val="160707FA"/>
    <w:rsid w:val="164544B3"/>
    <w:rsid w:val="17990AA4"/>
    <w:rsid w:val="17AA1F84"/>
    <w:rsid w:val="1A9D4B44"/>
    <w:rsid w:val="1CE92E37"/>
    <w:rsid w:val="1E8A18E4"/>
    <w:rsid w:val="20E76CF1"/>
    <w:rsid w:val="215660F6"/>
    <w:rsid w:val="215A14F4"/>
    <w:rsid w:val="21A5025D"/>
    <w:rsid w:val="21D85A6A"/>
    <w:rsid w:val="22424488"/>
    <w:rsid w:val="227B1E71"/>
    <w:rsid w:val="23561C04"/>
    <w:rsid w:val="24130C51"/>
    <w:rsid w:val="242D4D7B"/>
    <w:rsid w:val="24DE377E"/>
    <w:rsid w:val="257356E3"/>
    <w:rsid w:val="25844D18"/>
    <w:rsid w:val="2599146D"/>
    <w:rsid w:val="26C65AE5"/>
    <w:rsid w:val="26D76A78"/>
    <w:rsid w:val="28B74948"/>
    <w:rsid w:val="29BC336C"/>
    <w:rsid w:val="2A2A7502"/>
    <w:rsid w:val="2B140628"/>
    <w:rsid w:val="2C0D458F"/>
    <w:rsid w:val="2C5B5137"/>
    <w:rsid w:val="2D5672C8"/>
    <w:rsid w:val="2E1934B5"/>
    <w:rsid w:val="300110D9"/>
    <w:rsid w:val="302F623C"/>
    <w:rsid w:val="32D96724"/>
    <w:rsid w:val="33AF280D"/>
    <w:rsid w:val="341E0864"/>
    <w:rsid w:val="34E369E5"/>
    <w:rsid w:val="34FD22FB"/>
    <w:rsid w:val="366620FB"/>
    <w:rsid w:val="37506127"/>
    <w:rsid w:val="37663870"/>
    <w:rsid w:val="37773E05"/>
    <w:rsid w:val="38001B66"/>
    <w:rsid w:val="39040376"/>
    <w:rsid w:val="3AC16E2D"/>
    <w:rsid w:val="3B5E348C"/>
    <w:rsid w:val="3B887F17"/>
    <w:rsid w:val="3C4703E5"/>
    <w:rsid w:val="3D6311D1"/>
    <w:rsid w:val="3DEC6DD7"/>
    <w:rsid w:val="3E011704"/>
    <w:rsid w:val="3E8316C1"/>
    <w:rsid w:val="3F4308E9"/>
    <w:rsid w:val="3F483841"/>
    <w:rsid w:val="3FB52F36"/>
    <w:rsid w:val="4055365D"/>
    <w:rsid w:val="40A829DB"/>
    <w:rsid w:val="40D0612B"/>
    <w:rsid w:val="40D33ABE"/>
    <w:rsid w:val="415C5548"/>
    <w:rsid w:val="447510AA"/>
    <w:rsid w:val="45040839"/>
    <w:rsid w:val="45686E1B"/>
    <w:rsid w:val="461679D4"/>
    <w:rsid w:val="47C1309D"/>
    <w:rsid w:val="482C3F4F"/>
    <w:rsid w:val="488A6689"/>
    <w:rsid w:val="48BA7CA8"/>
    <w:rsid w:val="4ABE6323"/>
    <w:rsid w:val="4B31209C"/>
    <w:rsid w:val="4B7055A6"/>
    <w:rsid w:val="4B881404"/>
    <w:rsid w:val="4C1B12EB"/>
    <w:rsid w:val="4C462E05"/>
    <w:rsid w:val="4F1C084D"/>
    <w:rsid w:val="503F7BC4"/>
    <w:rsid w:val="50A53970"/>
    <w:rsid w:val="52D269C2"/>
    <w:rsid w:val="5434137C"/>
    <w:rsid w:val="551B2D0E"/>
    <w:rsid w:val="555065B8"/>
    <w:rsid w:val="55912090"/>
    <w:rsid w:val="55C623D1"/>
    <w:rsid w:val="573A4EE5"/>
    <w:rsid w:val="58643CBF"/>
    <w:rsid w:val="5B694B25"/>
    <w:rsid w:val="5CB72B9F"/>
    <w:rsid w:val="5FCD51FA"/>
    <w:rsid w:val="606B01EC"/>
    <w:rsid w:val="61DB23CD"/>
    <w:rsid w:val="62176391"/>
    <w:rsid w:val="62512A87"/>
    <w:rsid w:val="62E55225"/>
    <w:rsid w:val="637079F2"/>
    <w:rsid w:val="64BB73D0"/>
    <w:rsid w:val="650325AA"/>
    <w:rsid w:val="650D41BE"/>
    <w:rsid w:val="653A6C43"/>
    <w:rsid w:val="65A03D66"/>
    <w:rsid w:val="65A360B9"/>
    <w:rsid w:val="65BA4308"/>
    <w:rsid w:val="65FE3CB1"/>
    <w:rsid w:val="66CA75ED"/>
    <w:rsid w:val="6DAC3A9B"/>
    <w:rsid w:val="6EA313DC"/>
    <w:rsid w:val="6F0959C6"/>
    <w:rsid w:val="6F4D0E25"/>
    <w:rsid w:val="6FB866A5"/>
    <w:rsid w:val="70167382"/>
    <w:rsid w:val="707D5B80"/>
    <w:rsid w:val="710C5B9C"/>
    <w:rsid w:val="721E020C"/>
    <w:rsid w:val="739D4649"/>
    <w:rsid w:val="73E246D1"/>
    <w:rsid w:val="770C1DB8"/>
    <w:rsid w:val="78A0237D"/>
    <w:rsid w:val="79346EA6"/>
    <w:rsid w:val="7A454EDD"/>
    <w:rsid w:val="7AB91D8B"/>
    <w:rsid w:val="7AEA3B88"/>
    <w:rsid w:val="7B3B6FAF"/>
    <w:rsid w:val="7B6317A3"/>
    <w:rsid w:val="7B9E3FE8"/>
    <w:rsid w:val="7BB354E4"/>
    <w:rsid w:val="7CB34DF1"/>
    <w:rsid w:val="7E0B1DF8"/>
    <w:rsid w:val="7E713B04"/>
    <w:rsid w:val="7F2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2"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rFonts w:ascii="Times New Roman" w:hAnsi="Times New Roman"/>
      <w:sz w:val="24"/>
    </w:rPr>
  </w:style>
  <w:style w:type="paragraph" w:styleId="11">
    <w:name w:val="annotation subject"/>
    <w:basedOn w:val="5"/>
    <w:next w:val="5"/>
    <w:link w:val="34"/>
    <w:qFormat/>
    <w:uiPriority w:val="0"/>
    <w:rPr>
      <w:rFonts w:ascii="Times New Roman" w:hAnsi="Times New Roman"/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99"/>
    <w:rPr>
      <w:color w:val="5F5F5F"/>
      <w:u w:val="none"/>
    </w:rPr>
  </w:style>
  <w:style w:type="character" w:styleId="18">
    <w:name w:val="Hyperlink"/>
    <w:qFormat/>
    <w:uiPriority w:val="99"/>
    <w:rPr>
      <w:color w:val="325CBD"/>
      <w:u w:val="non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框文本 字符"/>
    <w:basedOn w:val="14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页脚 字符"/>
    <w:basedOn w:val="14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页眉 字符"/>
    <w:basedOn w:val="14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标题 1 字符"/>
    <w:basedOn w:val="14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25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3 字符"/>
    <w:basedOn w:val="14"/>
    <w:semiHidden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27">
    <w:name w:val="制度题2"/>
    <w:basedOn w:val="1"/>
    <w:autoRedefine/>
    <w:qFormat/>
    <w:uiPriority w:val="0"/>
    <w:pPr>
      <w:widowControl/>
      <w:adjustRightInd w:val="0"/>
      <w:snapToGrid w:val="0"/>
      <w:spacing w:line="600" w:lineRule="exact"/>
      <w:ind w:firstLine="672" w:firstLineChars="200"/>
    </w:pPr>
    <w:rPr>
      <w:rFonts w:ascii="方正黑体_GBK" w:hAnsi="仿宋_GB2312" w:eastAsia="方正黑体_GBK" w:cs="仿宋_GB2312"/>
      <w:color w:val="000000"/>
      <w:spacing w:val="8"/>
      <w:sz w:val="32"/>
      <w:szCs w:val="32"/>
      <w:shd w:val="clear" w:color="auto" w:fill="FFFFFF"/>
    </w:rPr>
  </w:style>
  <w:style w:type="character" w:customStyle="1" w:styleId="28">
    <w:name w:val="批注文字 Char"/>
    <w:qFormat/>
    <w:uiPriority w:val="0"/>
    <w:rPr>
      <w:kern w:val="2"/>
      <w:sz w:val="21"/>
      <w:szCs w:val="24"/>
    </w:rPr>
  </w:style>
  <w:style w:type="character" w:customStyle="1" w:styleId="29">
    <w:name w:val="标题 3 字符1"/>
    <w:link w:val="4"/>
    <w:qFormat/>
    <w:uiPriority w:val="0"/>
    <w:rPr>
      <w:b/>
      <w:bCs/>
      <w:kern w:val="2"/>
      <w:sz w:val="32"/>
      <w:szCs w:val="32"/>
    </w:rPr>
  </w:style>
  <w:style w:type="character" w:customStyle="1" w:styleId="30">
    <w:name w:val="spanleft"/>
    <w:basedOn w:val="14"/>
    <w:qFormat/>
    <w:uiPriority w:val="0"/>
  </w:style>
  <w:style w:type="character" w:customStyle="1" w:styleId="31">
    <w:name w:val="标题 2 字符1"/>
    <w:link w:val="3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32">
    <w:name w:val="标题 1 字符1"/>
    <w:link w:val="2"/>
    <w:qFormat/>
    <w:uiPriority w:val="9"/>
    <w:rPr>
      <w:rFonts w:ascii="宋体" w:hAnsi="宋体"/>
      <w:b/>
      <w:bCs/>
      <w:kern w:val="36"/>
      <w:sz w:val="48"/>
      <w:szCs w:val="48"/>
    </w:rPr>
  </w:style>
  <w:style w:type="character" w:customStyle="1" w:styleId="33">
    <w:name w:val="页脚 Char"/>
    <w:qFormat/>
    <w:uiPriority w:val="99"/>
    <w:rPr>
      <w:kern w:val="2"/>
      <w:sz w:val="18"/>
      <w:szCs w:val="18"/>
    </w:rPr>
  </w:style>
  <w:style w:type="character" w:customStyle="1" w:styleId="34">
    <w:name w:val="批注主题 字符1"/>
    <w:link w:val="11"/>
    <w:qFormat/>
    <w:uiPriority w:val="0"/>
    <w:rPr>
      <w:b/>
      <w:bCs/>
      <w:kern w:val="2"/>
      <w:sz w:val="21"/>
      <w:szCs w:val="24"/>
    </w:rPr>
  </w:style>
  <w:style w:type="character" w:customStyle="1" w:styleId="35">
    <w:name w:val="first-child"/>
    <w:basedOn w:val="14"/>
    <w:qFormat/>
    <w:uiPriority w:val="0"/>
  </w:style>
  <w:style w:type="character" w:customStyle="1" w:styleId="36">
    <w:name w:val="批注框文本 Char"/>
    <w:qFormat/>
    <w:uiPriority w:val="0"/>
    <w:rPr>
      <w:kern w:val="2"/>
      <w:sz w:val="18"/>
      <w:szCs w:val="18"/>
    </w:rPr>
  </w:style>
  <w:style w:type="character" w:customStyle="1" w:styleId="37">
    <w:name w:val="qq_login_logo"/>
    <w:basedOn w:val="14"/>
    <w:qFormat/>
    <w:uiPriority w:val="0"/>
  </w:style>
  <w:style w:type="character" w:customStyle="1" w:styleId="38">
    <w:name w:val="z-窗体顶端 字符1"/>
    <w:link w:val="3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39">
    <w:name w:val="z-窗体顶端1"/>
    <w:basedOn w:val="1"/>
    <w:next w:val="1"/>
    <w:link w:val="3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0">
    <w:name w:val="z-窗体底端 字符1"/>
    <w:link w:val="41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41">
    <w:name w:val="z-窗体底端1"/>
    <w:basedOn w:val="1"/>
    <w:next w:val="1"/>
    <w:link w:val="4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2">
    <w:name w:val="批注文字 字符"/>
    <w:basedOn w:val="14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43">
    <w:name w:val="批注主题 字符"/>
    <w:basedOn w:val="42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44">
    <w:name w:val="tunews_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5">
    <w:name w:val="z-窗体底端 字符"/>
    <w:basedOn w:val="14"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paragraph" w:customStyle="1" w:styleId="46">
    <w:name w:val="nei_r_c"/>
    <w:basedOn w:val="1"/>
    <w:qFormat/>
    <w:uiPriority w:val="0"/>
    <w:pPr>
      <w:widowControl/>
      <w:pBdr>
        <w:top w:val="single" w:color="FF0000" w:sz="2" w:space="0"/>
        <w:left w:val="single" w:color="FF0000" w:sz="2" w:space="0"/>
        <w:bottom w:val="single" w:color="FF0000" w:sz="2" w:space="0"/>
        <w:right w:val="single" w:color="FF0000" w:sz="2" w:space="0"/>
      </w:pBdr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neirong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jigou_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winstyle539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customStyle="1" w:styleId="50">
    <w:name w:val="right_k"/>
    <w:basedOn w:val="1"/>
    <w:qFormat/>
    <w:uiPriority w:val="0"/>
    <w:pPr>
      <w:widowControl/>
      <w:pBdr>
        <w:top w:val="single" w:color="FF0000" w:sz="2" w:space="0"/>
        <w:left w:val="single" w:color="FF0000" w:sz="2" w:space="0"/>
        <w:bottom w:val="single" w:color="FF0000" w:sz="2" w:space="0"/>
        <w:right w:val="single" w:color="FF0000" w:sz="2" w:space="0"/>
      </w:pBdr>
      <w:spacing w:before="100" w:beforeAutospacing="1" w:after="100" w:afterAutospacing="1"/>
      <w:ind w:left="195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new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page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customStyle="1" w:styleId="53">
    <w:name w:val="tunews_t_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s_body"/>
    <w:basedOn w:val="1"/>
    <w:qFormat/>
    <w:uiPriority w:val="0"/>
    <w:pPr>
      <w:widowControl/>
      <w:shd w:val="clear" w:color="auto" w:fill="CCCCCC"/>
      <w:spacing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nei_r"/>
    <w:basedOn w:val="1"/>
    <w:qFormat/>
    <w:uiPriority w:val="0"/>
    <w:pPr>
      <w:widowControl/>
      <w:pBdr>
        <w:top w:val="single" w:color="FF0000" w:sz="2" w:space="0"/>
        <w:left w:val="single" w:color="FF0000" w:sz="2" w:space="0"/>
        <w:bottom w:val="single" w:color="FF0000" w:sz="2" w:space="0"/>
        <w:right w:val="single" w:color="FF0000" w:sz="2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6">
    <w:name w:val="vote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2B2B2B"/>
      <w:kern w:val="0"/>
      <w:sz w:val="22"/>
      <w:szCs w:val="22"/>
    </w:rPr>
  </w:style>
  <w:style w:type="paragraph" w:customStyle="1" w:styleId="57">
    <w:name w:val="tunews_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fuwu_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fuwu_t_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lan_dao"/>
    <w:basedOn w:val="1"/>
    <w:qFormat/>
    <w:uiPriority w:val="0"/>
    <w:pPr>
      <w:widowControl/>
      <w:pBdr>
        <w:bottom w:val="dotted" w:color="6666AA" w:sz="6" w:space="0"/>
      </w:pBdr>
      <w:spacing w:before="60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title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62">
    <w:name w:val="time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">
    <w:name w:val="tunews_t_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nav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customStyle="1" w:styleId="66">
    <w:name w:val="nei_l"/>
    <w:basedOn w:val="1"/>
    <w:qFormat/>
    <w:uiPriority w:val="0"/>
    <w:pPr>
      <w:widowControl/>
      <w:pBdr>
        <w:top w:val="single" w:color="CCCCCC" w:sz="2" w:space="0"/>
        <w:left w:val="single" w:color="CCCCCC" w:sz="2" w:space="0"/>
        <w:bottom w:val="single" w:color="CCCCCC" w:sz="2" w:space="0"/>
        <w:right w:val="single" w:color="CCCCCC" w:sz="2" w:space="0"/>
      </w:pBdr>
      <w:spacing w:before="100" w:beforeAutospacing="1" w:after="100" w:afterAutospacing="1"/>
      <w:ind w:left="45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daohang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daohang_nei1"/>
    <w:basedOn w:val="1"/>
    <w:qFormat/>
    <w:uiPriority w:val="0"/>
    <w:pPr>
      <w:widowControl/>
      <w:pBdr>
        <w:left w:val="single" w:color="FFFFFF" w:sz="6" w:space="8"/>
      </w:pBdr>
      <w:spacing w:before="180" w:after="100" w:afterAutospacing="1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69">
    <w:name w:val="n_timu"/>
    <w:basedOn w:val="1"/>
    <w:qFormat/>
    <w:uiPriority w:val="0"/>
    <w:pPr>
      <w:widowControl/>
      <w:pBdr>
        <w:left w:val="single" w:color="77A0E1" w:sz="6" w:space="30"/>
        <w:right w:val="dotted" w:color="888888" w:sz="2" w:space="0"/>
      </w:pBdr>
      <w:spacing w:before="100" w:beforeAutospacing="1" w:after="100" w:afterAutospacing="1" w:line="450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70">
    <w:name w:val="win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1">
    <w:name w:val="author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2">
    <w:name w:val="contentstyle53980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3">
    <w:name w:val="shoushu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fuwu_t_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cheng1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6">
    <w:name w:val="tunews_t_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7">
    <w:name w:val="daohang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daohang"/>
    <w:basedOn w:val="1"/>
    <w:qFormat/>
    <w:uiPriority w:val="0"/>
    <w:pPr>
      <w:widowControl/>
      <w:spacing w:before="4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sz w:val="24"/>
      <w:szCs w:val="24"/>
      <w:lang w:val="en-US" w:eastAsia="zh-CN" w:bidi="ar-SA"/>
    </w:rPr>
  </w:style>
  <w:style w:type="paragraph" w:customStyle="1" w:styleId="80">
    <w:name w:val="fuwu_t_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fuwu_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2">
    <w:name w:val="z-窗体顶端 字符"/>
    <w:basedOn w:val="14"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paragraph" w:customStyle="1" w:styleId="83">
    <w:name w:val="正文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4">
    <w:name w:val="votetitle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B2B2B"/>
      <w:kern w:val="0"/>
      <w:sz w:val="18"/>
      <w:szCs w:val="18"/>
    </w:rPr>
  </w:style>
  <w:style w:type="paragraph" w:customStyle="1" w:styleId="85">
    <w:name w:val="tunews_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jigou_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7">
    <w:name w:val="foot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8">
    <w:name w:val="dao_kaishi"/>
    <w:basedOn w:val="1"/>
    <w:qFormat/>
    <w:uiPriority w:val="0"/>
    <w:pPr>
      <w:widowControl/>
      <w:spacing w:before="180" w:after="100" w:afterAutospacing="1"/>
      <w:ind w:right="300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89">
    <w:name w:val="fontstyle539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customStyle="1" w:styleId="90">
    <w:name w:val="splitflagstyle539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24"/>
    </w:rPr>
  </w:style>
  <w:style w:type="paragraph" w:customStyle="1" w:styleId="91">
    <w:name w:val="jigou_c"/>
    <w:basedOn w:val="1"/>
    <w:qFormat/>
    <w:uiPriority w:val="0"/>
    <w:pPr>
      <w:widowControl/>
      <w:shd w:val="clear" w:color="auto" w:fill="EFF6F8"/>
      <w:spacing w:before="100" w:beforeAutospacing="1" w:after="100" w:afterAutospacing="1" w:line="375" w:lineRule="atLeast"/>
      <w:jc w:val="left"/>
    </w:pPr>
    <w:rPr>
      <w:rFonts w:ascii="宋体" w:hAnsi="宋体" w:cs="宋体"/>
      <w:color w:val="444444"/>
      <w:kern w:val="0"/>
      <w:sz w:val="20"/>
      <w:szCs w:val="20"/>
    </w:rPr>
  </w:style>
  <w:style w:type="paragraph" w:customStyle="1" w:styleId="92">
    <w:name w:val="dongtai_bj"/>
    <w:basedOn w:val="1"/>
    <w:qFormat/>
    <w:uiPriority w:val="0"/>
    <w:pPr>
      <w:widowControl/>
      <w:pBdr>
        <w:top w:val="single" w:color="84ACD9" w:sz="2" w:space="4"/>
        <w:left w:val="single" w:color="84ACD9" w:sz="6" w:space="0"/>
        <w:bottom w:val="single" w:color="84ACD9" w:sz="6" w:space="0"/>
        <w:right w:val="single" w:color="84ACD9" w:sz="6" w:space="0"/>
      </w:pBdr>
      <w:shd w:val="clear" w:color="auto" w:fill="C3D7ED"/>
      <w:spacing w:before="100" w:beforeAutospacing="1" w:after="100" w:afterAutospacing="1"/>
      <w:jc w:val="left"/>
    </w:pPr>
    <w:rPr>
      <w:rFonts w:ascii="宋体" w:hAnsi="宋体" w:cs="宋体"/>
      <w:color w:val="444444"/>
      <w:kern w:val="0"/>
      <w:sz w:val="18"/>
      <w:szCs w:val="18"/>
    </w:rPr>
  </w:style>
  <w:style w:type="paragraph" w:customStyle="1" w:styleId="93">
    <w:name w:val="fuwu_x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daohang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5">
    <w:name w:val="contextstyle539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222222"/>
      <w:kern w:val="0"/>
      <w:sz w:val="18"/>
      <w:szCs w:val="18"/>
    </w:rPr>
  </w:style>
  <w:style w:type="paragraph" w:styleId="96">
    <w:name w:val="List Paragraph"/>
    <w:basedOn w:val="1"/>
    <w:qFormat/>
    <w:uiPriority w:val="99"/>
    <w:pPr>
      <w:ind w:firstLine="420" w:firstLineChars="200"/>
    </w:pPr>
  </w:style>
  <w:style w:type="character" w:customStyle="1" w:styleId="97">
    <w:name w:val="标题 3 Char"/>
    <w:qFormat/>
    <w:uiPriority w:val="0"/>
    <w:rPr>
      <w:b/>
      <w:bCs/>
      <w:kern w:val="2"/>
      <w:sz w:val="32"/>
      <w:szCs w:val="32"/>
    </w:rPr>
  </w:style>
  <w:style w:type="character" w:customStyle="1" w:styleId="98">
    <w:name w:val="页眉 Char"/>
    <w:qFormat/>
    <w:uiPriority w:val="99"/>
    <w:rPr>
      <w:kern w:val="2"/>
      <w:sz w:val="18"/>
      <w:szCs w:val="18"/>
    </w:rPr>
  </w:style>
  <w:style w:type="character" w:customStyle="1" w:styleId="99">
    <w:name w:val="标题 2 Char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00">
    <w:name w:val="标题 1 Char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1">
    <w:name w:val="批注主题 Char"/>
    <w:qFormat/>
    <w:uiPriority w:val="0"/>
    <w:rPr>
      <w:b/>
      <w:bCs/>
      <w:kern w:val="2"/>
      <w:sz w:val="21"/>
      <w:szCs w:val="24"/>
    </w:rPr>
  </w:style>
  <w:style w:type="character" w:customStyle="1" w:styleId="102">
    <w:name w:val="z-窗体顶端 字符3"/>
    <w:link w:val="103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03">
    <w:name w:val="z-窗体顶端2"/>
    <w:basedOn w:val="1"/>
    <w:next w:val="1"/>
    <w:link w:val="102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04">
    <w:name w:val="z-窗体底端 字符3"/>
    <w:link w:val="105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05">
    <w:name w:val="z-窗体底端2"/>
    <w:basedOn w:val="1"/>
    <w:next w:val="1"/>
    <w:link w:val="104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06">
    <w:name w:val="z-窗体底端 字符2"/>
    <w:basedOn w:val="14"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character" w:customStyle="1" w:styleId="107">
    <w:name w:val="z-窗体顶端 字符2"/>
    <w:basedOn w:val="14"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paragraph" w:customStyle="1" w:styleId="108">
    <w:name w:val="_Style 107"/>
    <w:basedOn w:val="1"/>
    <w:next w:val="96"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10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6262</Words>
  <Characters>6459</Characters>
  <Lines>48</Lines>
  <Paragraphs>13</Paragraphs>
  <TotalTime>40</TotalTime>
  <ScaleCrop>false</ScaleCrop>
  <LinksUpToDate>false</LinksUpToDate>
  <CharactersWithSpaces>6558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2021-01-10T04:03:00Z</dcterms:created>
  <dc:creator>黄琳城</dc:creator>
  <cp:lastModifiedBy>xinren01</cp:lastModifiedBy>
  <cp:lastPrinted>2021-07-06T07:44:00Z</cp:lastPrinted>
  <dcterms:modified xsi:type="dcterms:W3CDTF">2025-12-07T07:34:50Z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305646804_btnclosed</vt:lpwstr>
  </property>
  <property fmtid="{D5CDD505-2E9C-101B-9397-08002B2CF9AE}" pid="4" name="ICV">
    <vt:lpwstr>F6D0800DE65A4886B833D0DD842E12AC</vt:lpwstr>
  </property>
  <property fmtid="{D5CDD505-2E9C-101B-9397-08002B2CF9AE}" pid="5" name="KSOTemplateDocerSaveRecord">
    <vt:lpwstr>eyJoZGlkIjoiMzIwODJjMWJmZGEzNTZkZDJlYzFkOTllZGQwYzIyYmYiLCJ1c2VySWQiOiIzMjYwODE4MzcifQ==</vt:lpwstr>
  </property>
</Properties>
</file>